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after="1000" w:line="560" w:lineRule="exact"/>
        <w:jc w:val="center"/>
        <w:rPr>
          <w:rFonts w:hint="default" w:ascii="宋体" w:hAnsi="宋体" w:eastAsia="宋体" w:cs="宋体"/>
          <w:sz w:val="18"/>
          <w:szCs w:val="18"/>
          <w:lang w:val="en-US"/>
        </w:rPr>
      </w:pPr>
      <w:r>
        <w:rPr>
          <w:rFonts w:ascii="宋体" w:hAnsi="宋体" w:eastAsia="宋体" w:cs="宋体"/>
          <w:sz w:val="18"/>
          <w:szCs w:val="18"/>
        </w:rPr>
        <w:t>证券代码：002871                证券简称：伟隆股份                公告编号：2022-0</w:t>
      </w:r>
      <w:r>
        <w:rPr>
          <w:rFonts w:hint="default" w:ascii="宋体" w:hAnsi="宋体" w:eastAsia="宋体" w:cs="宋体"/>
          <w:sz w:val="18"/>
          <w:szCs w:val="18"/>
          <w:lang w:val="en-US"/>
        </w:rPr>
        <w:t>79</w:t>
      </w:r>
    </w:p>
    <w:p>
      <w:pPr>
        <w:spacing w:before="200" w:after="200" w:line="400" w:lineRule="exact"/>
        <w:jc w:val="center"/>
        <w:rPr>
          <w:rFonts w:ascii="宋体" w:hAnsi="宋体" w:eastAsia="宋体" w:cs="宋体"/>
          <w:b/>
          <w:bCs/>
          <w:sz w:val="32"/>
          <w:szCs w:val="32"/>
        </w:rPr>
      </w:pPr>
      <w:r>
        <w:rPr>
          <w:rFonts w:ascii="宋体" w:hAnsi="宋体" w:eastAsia="宋体" w:cs="宋体"/>
          <w:b/>
          <w:bCs/>
          <w:sz w:val="32"/>
          <w:szCs w:val="32"/>
        </w:rPr>
        <w:t>青岛伟隆阀门股份有限公司</w:t>
      </w:r>
    </w:p>
    <w:p>
      <w:pPr>
        <w:spacing w:before="200" w:after="200" w:line="400" w:lineRule="exact"/>
        <w:jc w:val="center"/>
        <w:rPr>
          <w:rFonts w:ascii="宋体" w:hAnsi="宋体" w:eastAsia="宋体" w:cs="宋体"/>
          <w:b/>
          <w:bCs/>
          <w:sz w:val="32"/>
          <w:szCs w:val="32"/>
        </w:rPr>
      </w:pPr>
      <w:r>
        <w:rPr>
          <w:rFonts w:ascii="宋体" w:hAnsi="宋体" w:eastAsia="宋体" w:cs="宋体"/>
          <w:b/>
          <w:bCs/>
          <w:sz w:val="32"/>
          <w:szCs w:val="32"/>
        </w:rPr>
        <w:t>2022年第三季度报告</w:t>
      </w:r>
    </w:p>
    <w:p>
      <w:pPr>
        <w:pBdr>
          <w:top w:val="single" w:color="auto" w:sz="4" w:space="1"/>
          <w:left w:val="single" w:color="auto" w:sz="4" w:space="4"/>
          <w:bottom w:val="single" w:color="auto" w:sz="4" w:space="1"/>
          <w:right w:val="single" w:color="auto" w:sz="4" w:space="4"/>
        </w:pBdr>
        <w:spacing w:before="100" w:after="100" w:line="400" w:lineRule="exact"/>
        <w:ind w:firstLine="360" w:firstLineChars="200"/>
        <w:jc w:val="left"/>
        <w:rPr>
          <w:rFonts w:ascii="宋体" w:hAnsi="宋体" w:eastAsia="宋体" w:cs="宋体"/>
          <w:sz w:val="18"/>
          <w:szCs w:val="18"/>
        </w:rPr>
      </w:pPr>
      <w:r>
        <w:rPr>
          <w:rFonts w:ascii="宋体" w:hAnsi="宋体" w:eastAsia="宋体" w:cs="宋体"/>
          <w:sz w:val="18"/>
          <w:szCs w:val="18"/>
        </w:rPr>
        <w:t>本公司及董事会全体成员保证信息披露的内容真实、准确、完整，没有虚假记载、误导性陈述或重大遗漏。</w:t>
      </w:r>
    </w:p>
    <w:p>
      <w:pPr>
        <w:spacing w:before="40" w:after="40" w:line="420" w:lineRule="exact"/>
        <w:jc w:val="left"/>
        <w:rPr>
          <w:rFonts w:ascii="宋体" w:hAnsi="宋体" w:eastAsia="宋体" w:cs="宋体"/>
          <w:b/>
          <w:bCs/>
          <w:sz w:val="24"/>
          <w:szCs w:val="24"/>
        </w:rPr>
      </w:pPr>
      <w:r>
        <w:rPr>
          <w:rFonts w:ascii="宋体" w:hAnsi="宋体" w:eastAsia="宋体" w:cs="宋体"/>
          <w:b/>
          <w:bCs/>
          <w:sz w:val="24"/>
          <w:szCs w:val="24"/>
        </w:rPr>
        <w:t>重要内容提示：</w:t>
      </w:r>
    </w:p>
    <w:p>
      <w:pPr>
        <w:spacing w:before="100" w:after="100" w:line="400" w:lineRule="exact"/>
        <w:jc w:val="left"/>
        <w:rPr>
          <w:rFonts w:ascii="宋体" w:hAnsi="宋体" w:eastAsia="宋体" w:cs="宋体"/>
          <w:sz w:val="18"/>
          <w:szCs w:val="18"/>
        </w:rPr>
      </w:pPr>
      <w:r>
        <w:rPr>
          <w:rFonts w:ascii="宋体" w:hAnsi="宋体" w:eastAsia="宋体" w:cs="宋体"/>
          <w:sz w:val="18"/>
          <w:szCs w:val="18"/>
        </w:rPr>
        <w:t>1.董事会、监事会及董事、监事、高级管理人员保证季度报告的真实、准确、完整，不存在虚假记载、误导性陈述或重大遗漏，并承担个别和连带的法律责任。</w:t>
      </w:r>
    </w:p>
    <w:p>
      <w:pPr>
        <w:spacing w:before="100" w:after="100" w:line="400" w:lineRule="exact"/>
        <w:jc w:val="left"/>
        <w:rPr>
          <w:rFonts w:ascii="宋体" w:hAnsi="宋体" w:eastAsia="宋体" w:cs="宋体"/>
          <w:sz w:val="18"/>
          <w:szCs w:val="18"/>
        </w:rPr>
      </w:pPr>
      <w:r>
        <w:rPr>
          <w:rFonts w:ascii="宋体" w:hAnsi="宋体" w:eastAsia="宋体" w:cs="宋体"/>
          <w:sz w:val="18"/>
          <w:szCs w:val="18"/>
        </w:rPr>
        <w:t>2.公司负责人、主管会计工作负责人及会计机构负责人(会计主管人员)声明：保证季度报告中财务信息的真实、准确、完整。</w:t>
      </w:r>
    </w:p>
    <w:p>
      <w:pPr>
        <w:spacing w:before="100" w:after="100" w:line="400" w:lineRule="exact"/>
        <w:jc w:val="left"/>
        <w:rPr>
          <w:rFonts w:ascii="宋体" w:hAnsi="宋体" w:eastAsia="宋体" w:cs="宋体"/>
          <w:sz w:val="18"/>
          <w:szCs w:val="18"/>
        </w:rPr>
      </w:pPr>
      <w:r>
        <w:rPr>
          <w:rFonts w:ascii="宋体" w:hAnsi="宋体" w:eastAsia="宋体" w:cs="宋体"/>
          <w:sz w:val="18"/>
          <w:szCs w:val="18"/>
        </w:rPr>
        <w:t>3.第三季度报告是否经过审计</w:t>
      </w:r>
    </w:p>
    <w:p>
      <w:pPr>
        <w:spacing w:before="100" w:after="100" w:line="40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r>
        <w:br w:type="page"/>
      </w:r>
    </w:p>
    <w:p>
      <w:pPr>
        <w:keepNext/>
        <w:keepLines/>
        <w:spacing w:before="300" w:after="300" w:line="320" w:lineRule="exact"/>
        <w:jc w:val="left"/>
        <w:outlineLvl w:val="0"/>
        <w:rPr>
          <w:rFonts w:ascii="宋体" w:hAnsi="宋体" w:eastAsia="宋体" w:cs="宋体"/>
          <w:b/>
          <w:bCs/>
          <w:sz w:val="24"/>
          <w:szCs w:val="24"/>
        </w:rPr>
      </w:pPr>
      <w:bookmarkStart w:id="0" w:name="_Toc988889"/>
      <w:r>
        <w:rPr>
          <w:rFonts w:ascii="宋体" w:hAnsi="宋体" w:eastAsia="宋体" w:cs="宋体"/>
          <w:b/>
          <w:bCs/>
          <w:sz w:val="24"/>
          <w:szCs w:val="24"/>
        </w:rPr>
        <w:t>一、主要财务数据</w:t>
      </w:r>
      <w:bookmarkEnd w:id="0"/>
    </w:p>
    <w:p>
      <w:pPr>
        <w:keepNext/>
        <w:keepLines/>
        <w:spacing w:before="300" w:after="300" w:line="280" w:lineRule="exact"/>
        <w:jc w:val="left"/>
        <w:outlineLvl w:val="1"/>
        <w:rPr>
          <w:rFonts w:ascii="宋体" w:hAnsi="宋体" w:eastAsia="宋体" w:cs="宋体"/>
          <w:b/>
          <w:bCs/>
          <w:sz w:val="21"/>
          <w:szCs w:val="21"/>
        </w:rPr>
      </w:pPr>
      <w:bookmarkStart w:id="1" w:name="_Toc988890"/>
      <w:r>
        <w:rPr>
          <w:rFonts w:ascii="宋体" w:hAnsi="宋体" w:eastAsia="宋体" w:cs="宋体"/>
          <w:b/>
          <w:bCs/>
          <w:sz w:val="21"/>
          <w:szCs w:val="21"/>
        </w:rPr>
        <w:t>（一） 主要会计数据和财务指标</w:t>
      </w:r>
      <w:bookmarkEnd w:id="1"/>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公司是否需追溯调整或重述以前年度会计数据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本报告期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本报告期比上年同期增减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年初至报告期末</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年初至报告期末比上年同期增减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营业收入（元）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170,409,749.52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53.90%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404,468,288.63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归属于上市公司股东的净利润（元）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40,871,595.00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104.68%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120,018,359.83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177.45%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归属于上市公司股东的扣除非经常性损益的净利润（元）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44,418,383.46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172.61%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80,680,262.15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经营活动产生的现金流量净额（元）</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79,254,879.17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-378.31%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基本每股收益（元/股）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102.38%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0.71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173.08%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稀释每股收益（元/股）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102.38%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0.71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173.08%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加权平均净资产收益率</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94.98%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17.5</w:t>
            </w:r>
            <w:r>
              <w:rPr>
                <w:rFonts w:hint="default" w:ascii="宋体" w:hAnsi="宋体" w:cs="宋体"/>
                <w:sz w:val="18"/>
                <w:szCs w:val="18"/>
                <w:lang w:val="en-US"/>
              </w:rPr>
              <w:t>6</w:t>
            </w:r>
            <w:r>
              <w:rPr>
                <w:rFonts w:ascii="宋体" w:hAnsi="宋体" w:eastAsia="宋体" w:cs="宋体"/>
                <w:sz w:val="18"/>
                <w:szCs w:val="18"/>
              </w:rPr>
              <w:t>%</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hint="default" w:ascii="宋体" w:hAnsi="宋体" w:cs="宋体"/>
                <w:sz w:val="18"/>
                <w:szCs w:val="18"/>
                <w:lang w:val="en-US"/>
              </w:rPr>
              <w:t>171.48</w:t>
            </w: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本报告期末</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上年度末</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本报告期末比上年度末增减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总资产（元）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981,634,112.55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889,880,540.36</w:t>
            </w:r>
          </w:p>
        </w:tc>
        <w:tc>
          <w:tcPr>
            <w:tcW w:w="385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归属于上市公司股东的所有者权益（元）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711,908,698.26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645,978,604.56</w:t>
            </w:r>
          </w:p>
        </w:tc>
        <w:tc>
          <w:tcPr>
            <w:tcW w:w="385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10.21%</w:t>
            </w:r>
          </w:p>
        </w:tc>
      </w:tr>
    </w:tbl>
    <w:p>
      <w:pPr>
        <w:spacing w:before="100" w:after="100" w:line="0" w:lineRule="exact"/>
        <w:jc w:val="left"/>
      </w:pPr>
    </w:p>
    <w:p>
      <w:pPr>
        <w:keepNext/>
        <w:keepLines/>
        <w:spacing w:before="300" w:after="300" w:line="280" w:lineRule="exact"/>
        <w:jc w:val="left"/>
        <w:outlineLvl w:val="1"/>
        <w:rPr>
          <w:rFonts w:ascii="宋体" w:hAnsi="宋体" w:eastAsia="宋体" w:cs="宋体"/>
          <w:b/>
          <w:bCs/>
          <w:sz w:val="21"/>
          <w:szCs w:val="21"/>
        </w:rPr>
      </w:pPr>
      <w:bookmarkStart w:id="2" w:name="_Toc988891"/>
      <w:r>
        <w:rPr>
          <w:rFonts w:ascii="宋体" w:hAnsi="宋体" w:eastAsia="宋体" w:cs="宋体"/>
          <w:b/>
          <w:bCs/>
          <w:sz w:val="21"/>
          <w:szCs w:val="21"/>
        </w:rPr>
        <w:t>（二） 非经常性损益项目和金额</w:t>
      </w:r>
      <w:bookmarkEnd w:id="2"/>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0" w:after="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本报告期金额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年初至报告期期末金额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非流动资产处置损益（包括已计提资产减值准备的冲销部分）</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795,354.05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810,361.61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计入当期损益的政府补助（与公司正常经营业务密切相关，符合国家政策规定、按照一定标准定额或定量持续享受的政府补助除外）</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709,689.34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2,576,190.53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委托他人投资或管理资产的损益</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1,707,039.01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6,559,889.53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-8,865,791.80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-6,636,906.28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除上述各项之外的其他营业外收入和支出</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-287,219.22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-545,259.35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处置子公司资产收益</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41,641,161.86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减：所得税影响额</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459,291.75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7,920,772.13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少数股东权益影响额（税后）</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-2,853,431.91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-6,400,220.37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39,338,097.68</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其他符合非经常性损益定义的损益项目的具体情况：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公司不存在其他符合非经常性损益定义的损益项目的具体情况。</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将《公开发行证券的公司信息披露解释性公告第1号——非经常性损益》中列举的非经常性损益项目界定为经常性损益项目的情况说明
</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公司不存在将《公开发行证券的公司信息披露解释性公告第1号——非经常性损益》中列举的非经常性损益项目界定为经常性损益的项目的情形。</w:t>
      </w:r>
    </w:p>
    <w:p>
      <w:pPr>
        <w:keepNext/>
        <w:keepLines/>
        <w:spacing w:before="300" w:after="300" w:line="280" w:lineRule="exact"/>
        <w:jc w:val="left"/>
        <w:outlineLvl w:val="1"/>
        <w:rPr>
          <w:rFonts w:ascii="宋体" w:hAnsi="宋体" w:eastAsia="宋体" w:cs="宋体"/>
          <w:b/>
          <w:bCs/>
          <w:sz w:val="21"/>
          <w:szCs w:val="21"/>
        </w:rPr>
      </w:pPr>
      <w:bookmarkStart w:id="3" w:name="_Toc988892"/>
      <w:r>
        <w:rPr>
          <w:rFonts w:ascii="宋体" w:hAnsi="宋体" w:eastAsia="宋体" w:cs="宋体"/>
          <w:b/>
          <w:bCs/>
          <w:sz w:val="21"/>
          <w:szCs w:val="21"/>
        </w:rPr>
        <w:t>（三） 主要会计数据和财务指标发生变动的情况及原因</w:t>
      </w:r>
      <w:bookmarkEnd w:id="3"/>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3"/>
        <w:tblW w:w="97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068"/>
        <w:gridCol w:w="1835"/>
        <w:gridCol w:w="1836"/>
        <w:gridCol w:w="1090"/>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4" w:hRule="atLeast"/>
        </w:trPr>
        <w:tc>
          <w:tcPr>
            <w:tcW w:w="3068" w:type="dxa"/>
            <w:tcBorders>
              <w:top w:val="single" w:color="000000" w:sz="8" w:space="0"/>
              <w:left w:val="single" w:color="000000" w:sz="8" w:space="0"/>
              <w:bottom w:val="single" w:color="000000" w:sz="8" w:space="0"/>
              <w:right w:val="single" w:color="000000"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835" w:type="dxa"/>
            <w:tcBorders>
              <w:top w:val="single" w:color="auto" w:sz="8" w:space="0"/>
              <w:left w:val="nil"/>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期末数</w:t>
            </w:r>
          </w:p>
        </w:tc>
        <w:tc>
          <w:tcPr>
            <w:tcW w:w="1836" w:type="dxa"/>
            <w:tcBorders>
              <w:top w:val="single" w:color="auto" w:sz="8" w:space="0"/>
              <w:left w:val="nil"/>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期初数</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上期</w:t>
            </w:r>
          </w:p>
        </w:tc>
        <w:tc>
          <w:tcPr>
            <w:tcW w:w="1090" w:type="dxa"/>
            <w:tcBorders>
              <w:top w:val="single" w:color="auto" w:sz="8" w:space="0"/>
              <w:left w:val="nil"/>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增减率</w:t>
            </w:r>
          </w:p>
        </w:tc>
        <w:tc>
          <w:tcPr>
            <w:tcW w:w="1950" w:type="dxa"/>
            <w:tcBorders>
              <w:top w:val="single" w:color="auto" w:sz="8" w:space="0"/>
              <w:left w:val="nil"/>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变动原因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2" w:hRule="atLeast"/>
        </w:trPr>
        <w:tc>
          <w:tcPr>
            <w:tcW w:w="9779" w:type="dxa"/>
            <w:gridSpan w:val="5"/>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资产负债表项目（2022年1-9月与2021年12月末同比增减）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货币资金</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66,687,814.51</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96,516,652.97</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-30.91%</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主要系投资理财资金增多导致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交易性金融资产</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280,869,124.39</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188,606,030.67</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48.92%</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主要系投资理财资金增多导致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应收账款</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111,047,949.39</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71,854,562.96</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54.55%</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主要系营业收入增加所致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应收款项融资</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2,434,900.00</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11,585,000.00</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-78.98%</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主要系大额承兑到期所致的减少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4"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预付款项</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6,729,598.53</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3,615,789.53</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86.12%</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主要系预付材料费、电费、认证费增加所致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4"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投资性房地产</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1,355,985.59</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5,578,661.78</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-75.69%</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主要系折旧计提及子公司股权转让导致的减少所致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在建工程</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8,178,396.02</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4,649,676.26</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75.89%</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主要系购置设备转资及建造智能仓库所致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4"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长期待摊费用</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2,114,344.81</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1,212,383.99</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74.40%</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主要是摊销减少及子公司维修厂房增加所致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其他非流动资产</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1,011,000.00</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247,500.00</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308.48%</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主要系预付设备款增加所致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预收账款</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24,500,000.00</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主要系确认股权转让减少所致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应交税费</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20,363,462.29</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4,962,868.65</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310.32%</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主要系转让子公司股权及季度所得税增加所致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其他综合收益</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6,306.82</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56,755.28</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-88.89%</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主要系外汇报表汇率变动所致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2" w:hRule="atLeast"/>
        </w:trPr>
        <w:tc>
          <w:tcPr>
            <w:tcW w:w="9779" w:type="dxa"/>
            <w:gridSpan w:val="5"/>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利润表项目（2022年1-9月与2021年1-9月同比增减）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营业总收入</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404,468,288.63</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290,948,804.84</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39.02%</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主要系境外销售收入增加所致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税金及附加</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4,064,395.33</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2,862,476.50</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41.99%</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主要系出口免抵导致的附加税增加所致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管理费用</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20,740,576.43</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15,040,384.20</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37.90%</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主要系员工薪酬及股权激励增加所致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财务费用</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-8,720,979.04</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1,100,210.43</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-892.66%</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主要系汇兑收益增加所致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0"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其中：利息费用</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1,121,583.32</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753,787.38</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48.79%</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主要系借款增加所致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利息收入</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292,034.19</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147,506.22</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97.98%</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主要系活期协定存款利息收入增加所致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1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投资收益（损失以“-”号填列）</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48,201,051.39</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12,087,603.49</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298.76%</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主要系转让子公司股权所致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0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公允价值变动收益（损失以“-”号填列）</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-6,636,906.28</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-2,118,053.18</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213.35%</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主要系控股子公司投资亏损所致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信用减值损失（损失以“-”号填列）</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-2,337,119.15</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-1,782,273.00</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31.13%</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主要系应收账款增加计提准备金增加所致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0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资产减值损失（损失以“－”号填列）</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-1,176,084.04</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-467,166.51</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151.75%</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主要系计提存货准备金增加所致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资产处置收益（损失以“-”号填列）</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810,361.60</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94,373.84</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758.67%</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主要系处置固定资产增加所致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营业利润（亏损以“-”号填列）</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137,918,140.40</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46,721,970.22</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195.19%</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主要系营业收入增加所致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加：营业外收入</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107,066.30</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1,078,775.12</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-90.08%</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主要系供货商交付率提升，违约金减少所致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4"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减：营业外支出</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692,253.51</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10,759.25</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6334.03%</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主要系处置设备损失及核销应收账款增加所致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利润总额（亏损总额以“-”号填列）</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137,332,953.19</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47,789,986.09</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187.37%</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主要系营业收入及子公司股权转让增加所致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4"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减：所得税费用</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20,178,590.77</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4,531,828.95</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345.26%</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主要系营业收入及子公司股权转让增加所致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净利润（净亏损以“-”号填列）</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117,154,362.42</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43,258,157.14</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170.83%</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主要系营业收入及子公司股权转让增加所致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0"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其他综合收益的税后净额</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6,306.82</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33,202.53</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-81.01%</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主要系外汇报表汇率变动导致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综合收益总额</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117,160,669.24</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43,291,359.67</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170.63%</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主要系营业收入及股权转让增加所致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归属于母公司所有者的综合收益总额</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120,024,666.65</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43,291,359.67</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177.25%</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主要系营业收入及股权转让增加所致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0"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归属于少数股东的综合收益总额</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-2,368,443.40</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主要系控股子公司投资亏损所致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2" w:hRule="atLeast"/>
        </w:trPr>
        <w:tc>
          <w:tcPr>
            <w:tcW w:w="9779" w:type="dxa"/>
            <w:gridSpan w:val="5"/>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现金流量表项目（2022年1-9月与2021年1-9月同比增减）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销售商品、提供劳务收到的现金</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384,666,776.37</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272,870,897.64</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40.97%</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主要系营业收入增加所致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收到的税费返还</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26,550,201.16</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17,035,430.26</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55.85%</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主要系退税款增加所致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0"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收到其他与经营活动有关的现金</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1,606,102.80</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2,352,799.48</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-31.74%</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主要系政府补贴减少所致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4"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支付的各项税费</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15,468,853.06</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9,795,868.30</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57.91%</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主要系出口退税免抵计提的附加税及所得税增加所致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0"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支付其他与经营活动有关的现金</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19,891,901.67</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34,771,154.53</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-42.79%</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主要系支付检测、咨询等减少所致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0"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取得投资收益收到的现金</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5,986,733.40</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12,045,488.41</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-50.30%</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主要系理财收益减少所致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14"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处置固定资产、无形资产和其他长期资产收回的现金净额</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473,558.88</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1,377,200.85</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-65.61%</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主要系处置资产减少所致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0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处置子公司及其他营业单位收到的现金净额</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23,790,756.71</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主要系转让子公司股权所致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投资支付的现金</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434,799,400.00</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211,744,000.00</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105.34%</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主要系理财款增加所致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支付其他与投资活动有关的现金</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10,000,000.00</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主要系转让子公司股权押金所致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4"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吸收投资收到的现金</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41,988,460.90</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主要系成立控股子公司及实施股权激励所致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其中：子公司吸收少数股东投资收到的现金</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40,000,000.00</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主要系控股子公司吸收投资款所致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取得借款收到的现金</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70,000,000.00</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49,000,000.00</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42.86%</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主要系借款增加所致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1"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支付其他与筹资活动有关的现金</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29,999,850.00</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主要是本年度无股份回购所致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18" w:hRule="atLeast"/>
        </w:trPr>
        <w:tc>
          <w:tcPr>
            <w:tcW w:w="3068" w:type="dxa"/>
            <w:tcBorders>
              <w:top w:val="nil"/>
              <w:left w:val="single" w:color="auto" w:sz="8" w:space="0"/>
              <w:bottom w:val="single" w:color="auto" w:sz="8" w:space="0"/>
              <w:right w:val="single" w:color="auto" w:sz="8" w:space="0"/>
            </w:tcBorders>
            <w:shd w:val="pct20"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汇率变动对现金及现金等价物的影响</w:t>
            </w:r>
          </w:p>
        </w:tc>
        <w:tc>
          <w:tcPr>
            <w:tcW w:w="1835"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3,126,599.76</w:t>
            </w:r>
          </w:p>
        </w:tc>
        <w:tc>
          <w:tcPr>
            <w:tcW w:w="183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-124,905.24</w:t>
            </w:r>
          </w:p>
        </w:tc>
        <w:tc>
          <w:tcPr>
            <w:tcW w:w="109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2603.18%</w:t>
            </w:r>
          </w:p>
        </w:tc>
        <w:tc>
          <w:tcPr>
            <w:tcW w:w="195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主要系汇率变动的收益增加所致</w:t>
            </w:r>
          </w:p>
        </w:tc>
      </w:tr>
    </w:tbl>
    <w:p>
      <w:pPr>
        <w:keepNext/>
        <w:keepLines/>
        <w:spacing w:before="300" w:after="300" w:line="320" w:lineRule="exact"/>
        <w:jc w:val="left"/>
        <w:outlineLvl w:val="0"/>
        <w:rPr>
          <w:rFonts w:ascii="宋体" w:hAnsi="宋体" w:eastAsia="宋体" w:cs="宋体"/>
          <w:b/>
          <w:bCs/>
          <w:sz w:val="24"/>
          <w:szCs w:val="24"/>
        </w:rPr>
      </w:pPr>
      <w:bookmarkStart w:id="4" w:name="_Toc988893"/>
      <w:r>
        <w:rPr>
          <w:rFonts w:ascii="宋体" w:hAnsi="宋体" w:eastAsia="宋体" w:cs="宋体"/>
          <w:b/>
          <w:bCs/>
          <w:sz w:val="24"/>
          <w:szCs w:val="24"/>
        </w:rPr>
        <w:t xml:space="preserve">二、股东信息 </w:t>
      </w:r>
      <w:bookmarkEnd w:id="4"/>
    </w:p>
    <w:p>
      <w:pPr>
        <w:keepNext/>
        <w:keepLines/>
        <w:spacing w:before="300" w:after="300" w:line="280" w:lineRule="exact"/>
        <w:jc w:val="left"/>
        <w:outlineLvl w:val="1"/>
        <w:rPr>
          <w:rFonts w:ascii="宋体" w:hAnsi="宋体" w:eastAsia="宋体" w:cs="宋体"/>
          <w:b/>
          <w:bCs/>
          <w:sz w:val="21"/>
          <w:szCs w:val="21"/>
        </w:rPr>
      </w:pPr>
      <w:bookmarkStart w:id="5" w:name="_Toc988894"/>
      <w:r>
        <w:rPr>
          <w:rFonts w:ascii="宋体" w:hAnsi="宋体" w:eastAsia="宋体" w:cs="宋体"/>
          <w:b/>
          <w:bCs/>
          <w:sz w:val="21"/>
          <w:szCs w:val="21"/>
        </w:rPr>
        <w:t>（一） 普通股股东总数和表决权恢复的优先股股东数量及前十名股东持股情况表</w:t>
      </w:r>
      <w:bookmarkEnd w:id="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单位：股</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报告期末普通股股东总数 </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11,295</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报告期末表决权恢复的优先股股东总数（如有）</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前10名股东持股情况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股东名称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股东性质</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持股比例</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持股数量</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持有有限售条件的股份数量</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质押、标记 或冻结情况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股份状态</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55.73%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94,200,000.00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72,926,516.00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江西惠隆企业管理有限公司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8,920,000.00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范玉隆</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6,285,750.00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4,714,312.00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青岛森泰股权投资基金管理有限责任公司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3,129,455.00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杨学良</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2,816,400.00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周学枚</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0.61%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1,032,300.00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中信证券股份有限公司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国有法人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0.50%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841,188.00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中国工商银行股份有限公司－南方大数据100指数证券投资基金</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784,645.00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北京益安资本管理有限公司－益安地风2号私募证券投资基金</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769,935.00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华泰证券股份有限公司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国有法人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768,427.00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前10名无限售条件股东持股情况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股东名称</w:t>
            </w:r>
          </w:p>
        </w:tc>
        <w:tc>
          <w:tcPr>
            <w:tcW w:w="4131" w:type="dxa"/>
            <w:gridSpan w:val="3"/>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持有无限售条件股份数量</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股份种类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4131" w:type="dxa"/>
            <w:gridSpan w:val="3"/>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股份种类</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21,273,484.00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21,273,484.00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江西惠隆企业管理有限公司</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8,920,000.00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8,920,000.00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青岛森泰股权投资基金管理有限责任公司</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3,129,455.00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3,129,455.00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杨学良</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2,816,400.00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2,816,400.00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范玉隆</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1,571,438.00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1,571,438.00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周学枚</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1,032,300.00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1,032,300.00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中信证券股份有限公司</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841,188.00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841,188.00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中国工商银行股份有限公司－南方大数据100指数证券投资基金</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784,645.00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784,645.00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北京益安资本管理有限公司－益安地风2号私募证券投资基金</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769,935.00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769,935.00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754"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华泰证券股份有限公司</w:t>
            </w:r>
          </w:p>
        </w:tc>
        <w:tc>
          <w:tcPr>
            <w:tcW w:w="4131"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768,427.00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768,427.00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上述股东关联关系或一致行动的说明</w:t>
            </w:r>
          </w:p>
        </w:tc>
        <w:tc>
          <w:tcPr>
            <w:tcW w:w="5508"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第一大股东范庆伟、第三大股东范玉隆为本公司的实际控制人，范庆伟与范玉隆为父子关系。除上述情况外，上述公司股东间有关联关系的情况为公司股东范庆伟持有公司的法人股东江西惠隆企业管理有限公司的股权，构成一致行动人关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前10名股东参与融资融券业务情况说明（如有）</w:t>
            </w:r>
          </w:p>
        </w:tc>
        <w:tc>
          <w:tcPr>
            <w:tcW w:w="5508"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bl>
    <w:p>
      <w:pPr>
        <w:keepNext/>
        <w:keepLines/>
        <w:spacing w:before="300" w:after="300" w:line="280" w:lineRule="exact"/>
        <w:jc w:val="left"/>
        <w:outlineLvl w:val="1"/>
        <w:rPr>
          <w:rFonts w:ascii="宋体" w:hAnsi="宋体" w:eastAsia="宋体" w:cs="宋体"/>
          <w:b/>
          <w:bCs/>
          <w:sz w:val="21"/>
          <w:szCs w:val="21"/>
        </w:rPr>
      </w:pPr>
      <w:bookmarkStart w:id="6" w:name="_Toc988895"/>
      <w:r>
        <w:rPr>
          <w:rFonts w:ascii="宋体" w:hAnsi="宋体" w:eastAsia="宋体" w:cs="宋体"/>
          <w:b/>
          <w:bCs/>
          <w:sz w:val="21"/>
          <w:szCs w:val="21"/>
        </w:rPr>
        <w:t>（二） 公司优先股股东总数及前10名优先股股东持股情况表</w:t>
      </w:r>
      <w:bookmarkEnd w:id="6"/>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0"/>
        <w:rPr>
          <w:rFonts w:ascii="宋体" w:hAnsi="宋体" w:eastAsia="宋体" w:cs="宋体"/>
          <w:b/>
          <w:bCs/>
          <w:sz w:val="24"/>
          <w:szCs w:val="24"/>
        </w:rPr>
      </w:pPr>
      <w:bookmarkStart w:id="7" w:name="_Toc988896"/>
      <w:r>
        <w:rPr>
          <w:rFonts w:ascii="宋体" w:hAnsi="宋体" w:eastAsia="宋体" w:cs="宋体"/>
          <w:b/>
          <w:bCs/>
          <w:sz w:val="24"/>
          <w:szCs w:val="24"/>
        </w:rPr>
        <w:t>三、其他重要事项</w:t>
      </w:r>
      <w:bookmarkEnd w:id="7"/>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pStyle w:val="2"/>
        <w:keepNext w:val="0"/>
        <w:keepLines w:val="0"/>
        <w:widowControl/>
        <w:suppressLineNumbers w:val="0"/>
        <w:spacing w:before="0" w:beforeAutospacing="0" w:after="0" w:afterAutospacing="0"/>
        <w:ind w:left="0" w:right="0" w:firstLine="360"/>
        <w:jc w:val="left"/>
        <w:rPr>
          <w:rFonts w:hint="default" w:ascii="Times New Roman" w:hAnsi="Times New Roman" w:cs="Times New Roman"/>
          <w:sz w:val="21"/>
          <w:szCs w:val="21"/>
        </w:rPr>
      </w:pPr>
      <w:r>
        <w:rPr>
          <w:rFonts w:hint="eastAsia" w:ascii="宋体" w:hAnsi="宋体" w:eastAsia="宋体" w:cs="宋体"/>
          <w:sz w:val="18"/>
          <w:szCs w:val="18"/>
        </w:rPr>
        <w:t>1、关于设立海南伟隆投资有限公司事宜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40" w:afterAutospacing="0" w:line="240" w:lineRule="atLeast"/>
        <w:ind w:left="0" w:right="0" w:firstLine="360"/>
        <w:jc w:val="left"/>
        <w:rPr>
          <w:rFonts w:hint="default" w:ascii="Times New Roman" w:hAnsi="Times New Roman" w:cs="Times New Roman"/>
          <w:sz w:val="24"/>
          <w:szCs w:val="24"/>
        </w:rPr>
      </w:pPr>
      <w:r>
        <w:rPr>
          <w:rFonts w:hint="eastAsia" w:ascii="宋体" w:hAnsi="宋体" w:eastAsia="宋体" w:cs="宋体"/>
          <w:i w:val="0"/>
          <w:iCs w:val="0"/>
          <w:caps w:val="0"/>
          <w:color w:val="000000"/>
          <w:spacing w:val="0"/>
          <w:sz w:val="18"/>
          <w:szCs w:val="18"/>
        </w:rPr>
        <w:t>于2022年1月19日召开第四届董事会第九次会议，审议通过了《关于与专业投资机构对外投资设立合资公司的议案》，同意公司与上海天诚东泰投资有限公司（以下简称“天诚东泰”）、青岛天诚股权投资基金管理有限公司（以下简称“青岛天诚”）合作成立海南伟隆投资有限公司（以下简称“海南伟隆”，最终名称以工商管理部门实际核定为准）。海南伟隆注册资本为人民币10,000.00万元，其中伟隆股份以货币形式认缴6,000万元（大写：陆仟万元整），持有海南伟隆股权比例为60%，天诚东泰以货币形式认缴3,900万元（大写：叁仟玖佰万元整），持有海南伟隆股权比例为39%，青岛天诚以货币形式认缴100万元（大写：壹佰万元整），持有海南伟隆股权比例为1%。公司已于2022年1月20日在指定的信息披露媒体《证券时报》、《证券日报》、《中国证券报》及巨潮资讯网（www.cninfo.com.cn）上披露了《第四届董事会第九次会议决议公告》（公告编号：2022-007）、《关于与专业投资机构对外投资成立合资公司的公告》（公告编号：2022-008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40" w:afterAutospacing="0" w:line="240" w:lineRule="atLeast"/>
        <w:ind w:left="0" w:right="0" w:firstLine="360"/>
        <w:jc w:val="left"/>
        <w:rPr>
          <w:rFonts w:hint="default" w:ascii="Times New Roman" w:hAnsi="Times New Roman" w:cs="Times New Roman"/>
          <w:sz w:val="24"/>
          <w:szCs w:val="24"/>
        </w:rPr>
      </w:pPr>
      <w:r>
        <w:rPr>
          <w:rFonts w:hint="eastAsia" w:ascii="宋体" w:hAnsi="宋体" w:eastAsia="宋体" w:cs="宋体"/>
          <w:i w:val="0"/>
          <w:iCs w:val="0"/>
          <w:caps w:val="0"/>
          <w:color w:val="000000"/>
          <w:spacing w:val="0"/>
          <w:sz w:val="18"/>
          <w:szCs w:val="18"/>
        </w:rPr>
        <w:t>2、关于向2021年限制性股票激励计划激励对象授予预留部分限制性股票事宜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40" w:afterAutospacing="0" w:line="240" w:lineRule="atLeast"/>
        <w:ind w:left="0" w:right="0" w:firstLine="360"/>
        <w:jc w:val="left"/>
        <w:rPr>
          <w:rFonts w:hint="default" w:ascii="Times New Roman" w:hAnsi="Times New Roman" w:cs="Times New Roman"/>
          <w:sz w:val="24"/>
          <w:szCs w:val="24"/>
        </w:rPr>
      </w:pPr>
      <w:r>
        <w:rPr>
          <w:rFonts w:hint="eastAsia" w:ascii="宋体" w:hAnsi="宋体" w:eastAsia="宋体" w:cs="宋体"/>
          <w:i w:val="0"/>
          <w:iCs w:val="0"/>
          <w:caps w:val="0"/>
          <w:color w:val="000000"/>
          <w:spacing w:val="0"/>
          <w:sz w:val="18"/>
          <w:szCs w:val="18"/>
        </w:rPr>
        <w:t>2021年9月28日，公司分别召开了第四届董事会第五次会议和第四届监事会第四次会议，审议通过了《关于〈公司2021年限制性股票激励计划（草案）及其摘要〉的议案》、《关于〈公司2021年限制性股票激励计划实施考核管理办法〉的议案》以及《关于提请股东大会授权董事会办理公司2021年限制性股票激励计划有关事项的议案》。公司独立董事对此发表了独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40" w:afterAutospacing="0" w:line="240" w:lineRule="atLeast"/>
        <w:ind w:left="0" w:right="0" w:firstLine="360"/>
        <w:jc w:val="left"/>
        <w:rPr>
          <w:rFonts w:hint="default" w:ascii="Times New Roman" w:hAnsi="Times New Roman" w:cs="Times New Roman"/>
          <w:sz w:val="24"/>
          <w:szCs w:val="24"/>
        </w:rPr>
      </w:pPr>
      <w:r>
        <w:rPr>
          <w:rFonts w:hint="eastAsia" w:ascii="宋体" w:hAnsi="宋体" w:eastAsia="宋体" w:cs="宋体"/>
          <w:i w:val="0"/>
          <w:iCs w:val="0"/>
          <w:caps w:val="0"/>
          <w:color w:val="000000"/>
          <w:spacing w:val="0"/>
          <w:sz w:val="18"/>
          <w:szCs w:val="18"/>
        </w:rPr>
        <w:t>2021年9月28日至2021年10月8日，公司对2021年限制性股票激励计划授予激励对象名单进行了内部公示。公示期内，公司监事会未收到与激励计划拟激励对象有关的任何异议；公示期满，监事会对2021年限制性股票激励计划授予部分激励对象名单进行了核查并对公示情况进行了说明，于2021年10月9日公告了《监事会关于2021年限制性股票激励计划授予部分激励对象名单的审核及公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40" w:afterAutospacing="0" w:line="240" w:lineRule="atLeast"/>
        <w:ind w:left="0" w:right="0" w:firstLine="360"/>
        <w:jc w:val="left"/>
        <w:rPr>
          <w:rFonts w:hint="default" w:ascii="Times New Roman" w:hAnsi="Times New Roman" w:cs="Times New Roman"/>
          <w:sz w:val="24"/>
          <w:szCs w:val="24"/>
        </w:rPr>
      </w:pPr>
      <w:r>
        <w:rPr>
          <w:rFonts w:hint="eastAsia" w:ascii="宋体" w:hAnsi="宋体" w:eastAsia="宋体" w:cs="宋体"/>
          <w:i w:val="0"/>
          <w:iCs w:val="0"/>
          <w:caps w:val="0"/>
          <w:color w:val="000000"/>
          <w:spacing w:val="0"/>
          <w:sz w:val="18"/>
          <w:szCs w:val="18"/>
        </w:rPr>
        <w:t>2021年10月14日，公司召开2021年第二次临时股东大会，审议通过了《关于〈公司2021年限制性股票激励计划（草案）及其摘要〉的议案》、《关于〈公司2021年限制性股票激励计划实施考核管理办法〉的议案》以及《关于提请股东大会授权董事会办理公司2021年限制性股票激励计划有关事项的议案》。公司独立董事向全体股东公开征集了委托投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40" w:afterAutospacing="0" w:line="240" w:lineRule="atLeast"/>
        <w:ind w:left="0" w:right="0" w:firstLine="360"/>
        <w:jc w:val="left"/>
        <w:rPr>
          <w:rFonts w:hint="default" w:ascii="Times New Roman" w:hAnsi="Times New Roman" w:cs="Times New Roman"/>
          <w:sz w:val="24"/>
          <w:szCs w:val="24"/>
        </w:rPr>
      </w:pPr>
      <w:r>
        <w:rPr>
          <w:rFonts w:hint="eastAsia" w:ascii="宋体" w:hAnsi="宋体" w:eastAsia="宋体" w:cs="宋体"/>
          <w:i w:val="0"/>
          <w:iCs w:val="0"/>
          <w:caps w:val="0"/>
          <w:color w:val="000000"/>
          <w:spacing w:val="0"/>
          <w:sz w:val="18"/>
          <w:szCs w:val="18"/>
        </w:rPr>
        <w:t>2021年10月27日，公司召开第四届董事会第六次会议审议通过了《关于调整公司2021年限制性股票激励计划相关事项的议案》、《关于向激励对象授予限制性股票的议案》，董事会认为激励计划规定的授予条件已经成就，同意以2021年10月28日为授予日，向符合条件的80名激励对象授予272万股限制性股票。公司独立董事对此发表了独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40" w:afterAutospacing="0" w:line="240" w:lineRule="atLeast"/>
        <w:ind w:left="0" w:right="0" w:firstLine="360"/>
        <w:jc w:val="left"/>
        <w:rPr>
          <w:rFonts w:hint="default" w:ascii="Times New Roman" w:hAnsi="Times New Roman" w:cs="Times New Roman"/>
          <w:sz w:val="24"/>
          <w:szCs w:val="24"/>
        </w:rPr>
      </w:pPr>
      <w:r>
        <w:rPr>
          <w:rFonts w:hint="eastAsia" w:ascii="宋体" w:hAnsi="宋体" w:eastAsia="宋体" w:cs="宋体"/>
          <w:i w:val="0"/>
          <w:iCs w:val="0"/>
          <w:caps w:val="0"/>
          <w:color w:val="000000"/>
          <w:spacing w:val="0"/>
          <w:sz w:val="18"/>
          <w:szCs w:val="18"/>
        </w:rPr>
        <w:t>2021年10月27日，公司召开第四届监事会第五次会议审议通过了《关于调整公司2021年限制性股票激励计划相关事项的议案》、《关于向激励对象授予限制性股票的议案》，并出具《青岛伟隆阀门股份有限公司监事会关于公司2021年限制性股票激励计划激励对象名单（调整后）的核查意见》，监事会认为激励计划规定的授予条件已经成就，同意以2021年10月28日为授予日，向符合条件的80名激励对象授予272万股限制性股票，授予价格为5.00元/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40" w:afterAutospacing="0" w:line="240" w:lineRule="atLeast"/>
        <w:ind w:left="0" w:right="0" w:firstLine="360"/>
        <w:jc w:val="left"/>
        <w:rPr>
          <w:rFonts w:hint="default" w:ascii="Times New Roman" w:hAnsi="Times New Roman" w:cs="Times New Roman"/>
          <w:sz w:val="24"/>
          <w:szCs w:val="24"/>
        </w:rPr>
      </w:pPr>
      <w:r>
        <w:rPr>
          <w:rFonts w:hint="eastAsia" w:ascii="宋体" w:hAnsi="宋体" w:eastAsia="宋体" w:cs="宋体"/>
          <w:i w:val="0"/>
          <w:iCs w:val="0"/>
          <w:caps w:val="0"/>
          <w:color w:val="000000"/>
          <w:spacing w:val="0"/>
          <w:sz w:val="18"/>
          <w:szCs w:val="18"/>
        </w:rPr>
        <w:t>2022 年09月08日，公司召开第四届董事会第十四次会议，审议通过了《关于调整 2021年限制性股票激励计划预留部分授予价格的议案》《关于向2021年限制性股票激励计划激励对象授予预留部分限制性股票的议案》，同意公司2021年限制性股票激励计划预留部分限制性股票授予价格由5.00元/股调整为4.65元/股。董事会认为激励计划规定的预留部分授予条件已经成就，同意以2022年09月08日为授予日，向符合条件的27名激励对象授予42.7626万股限制性股票。公司独立董事对此发表了独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0" w:beforeAutospacing="0" w:after="40" w:afterAutospacing="0" w:line="240" w:lineRule="atLeast"/>
        <w:ind w:left="0" w:right="0" w:firstLine="360"/>
        <w:jc w:val="left"/>
        <w:rPr>
          <w:rFonts w:hint="default" w:ascii="Times New Roman" w:hAnsi="Times New Roman" w:cs="Times New Roman"/>
          <w:sz w:val="24"/>
          <w:szCs w:val="24"/>
        </w:rPr>
      </w:pPr>
      <w:r>
        <w:rPr>
          <w:rFonts w:hint="eastAsia" w:ascii="宋体" w:hAnsi="宋体" w:eastAsia="宋体" w:cs="宋体"/>
          <w:i w:val="0"/>
          <w:iCs w:val="0"/>
          <w:caps w:val="0"/>
          <w:color w:val="000000"/>
          <w:spacing w:val="0"/>
          <w:sz w:val="18"/>
          <w:szCs w:val="18"/>
        </w:rPr>
        <w:t>2022 年09月08日，公司召开第四届监事会第十二次会议，审议通过了《关于调整 2021年限制性股票激励计划预留部分授予价格的议案》《关于向2021年限制性股票激励计划激励对象授予预留部分限制性股票的议案》，并出具《青岛伟隆阀门股份有限公司监事会关于2021年限制性股票激励计划预留部分授予激励对象名单的核查意见》，监事会认为激励计划规定的预留部分授予条件已经成就，同意以2022年09月08日为授予日，向符合条件的27名激励对象授予42.7626万股限制性股票，授予价格为4.65元/股。</w:t>
      </w:r>
    </w:p>
    <w:p>
      <w:pPr>
        <w:pStyle w:val="2"/>
        <w:keepNext w:val="0"/>
        <w:keepLines w:val="0"/>
        <w:widowControl/>
        <w:suppressLineNumbers w:val="0"/>
        <w:spacing w:before="40" w:beforeAutospacing="0" w:after="40" w:afterAutospacing="0" w:line="240" w:lineRule="atLeast"/>
        <w:ind w:left="0" w:firstLine="360"/>
        <w:jc w:val="left"/>
        <w:rPr>
          <w:rFonts w:hint="default" w:ascii="Times New Roman" w:hAnsi="Times New Roman" w:cs="Times New Roman"/>
          <w:sz w:val="24"/>
          <w:szCs w:val="24"/>
        </w:rPr>
      </w:pPr>
      <w:r>
        <w:rPr>
          <w:rFonts w:hint="eastAsia" w:ascii="宋体" w:hAnsi="宋体" w:eastAsia="宋体" w:cs="宋体"/>
          <w:color w:val="000000"/>
          <w:sz w:val="18"/>
          <w:szCs w:val="18"/>
        </w:rPr>
        <w:t>上述限制性股票激励计划预留部分的授予日为2022年09月08日，授予限制性股票的上市日期为2022年09月22日。</w:t>
      </w:r>
    </w:p>
    <w:p>
      <w:pPr>
        <w:keepNext/>
        <w:keepLines/>
        <w:spacing w:before="300" w:after="300" w:line="320" w:lineRule="exact"/>
        <w:jc w:val="left"/>
        <w:outlineLvl w:val="0"/>
        <w:rPr>
          <w:rFonts w:ascii="宋体" w:hAnsi="宋体" w:eastAsia="宋体" w:cs="宋体"/>
          <w:b/>
          <w:bCs/>
          <w:sz w:val="24"/>
          <w:szCs w:val="24"/>
        </w:rPr>
      </w:pPr>
      <w:bookmarkStart w:id="8" w:name="_Toc988897"/>
      <w:r>
        <w:rPr>
          <w:rFonts w:ascii="宋体" w:hAnsi="宋体" w:eastAsia="宋体" w:cs="宋体"/>
          <w:b/>
          <w:bCs/>
          <w:sz w:val="24"/>
          <w:szCs w:val="24"/>
        </w:rPr>
        <w:t>四、季度财务报表</w:t>
      </w:r>
      <w:bookmarkEnd w:id="8"/>
    </w:p>
    <w:p>
      <w:pPr>
        <w:keepNext/>
        <w:keepLines/>
        <w:spacing w:before="300" w:after="300" w:line="280" w:lineRule="exact"/>
        <w:jc w:val="left"/>
        <w:outlineLvl w:val="1"/>
        <w:rPr>
          <w:rFonts w:ascii="宋体" w:hAnsi="宋体" w:eastAsia="宋体" w:cs="宋体"/>
          <w:b/>
          <w:bCs/>
          <w:sz w:val="21"/>
          <w:szCs w:val="21"/>
        </w:rPr>
      </w:pPr>
      <w:bookmarkStart w:id="9" w:name="_Toc988898"/>
      <w:r>
        <w:rPr>
          <w:rFonts w:ascii="宋体" w:hAnsi="宋体" w:eastAsia="宋体" w:cs="宋体"/>
          <w:b/>
          <w:bCs/>
          <w:sz w:val="21"/>
          <w:szCs w:val="21"/>
        </w:rPr>
        <w:t>（一） 财务报表</w:t>
      </w:r>
      <w:bookmarkEnd w:id="9"/>
    </w:p>
    <w:p>
      <w:pPr>
        <w:keepNext/>
        <w:keepLines/>
        <w:spacing w:before="300" w:after="300" w:line="280" w:lineRule="exact"/>
        <w:jc w:val="left"/>
        <w:outlineLvl w:val="2"/>
        <w:rPr>
          <w:rFonts w:ascii="宋体" w:hAnsi="宋体" w:eastAsia="宋体" w:cs="宋体"/>
          <w:b/>
          <w:bCs/>
          <w:sz w:val="21"/>
          <w:szCs w:val="21"/>
        </w:rPr>
      </w:pPr>
      <w:bookmarkStart w:id="10" w:name="_Toc988899"/>
      <w:r>
        <w:rPr>
          <w:rFonts w:ascii="宋体" w:hAnsi="宋体" w:eastAsia="宋体" w:cs="宋体"/>
          <w:b/>
          <w:bCs/>
          <w:sz w:val="21"/>
          <w:szCs w:val="21"/>
        </w:rPr>
        <w:t>1、合并资产负债表</w:t>
      </w:r>
      <w:bookmarkEnd w:id="10"/>
    </w:p>
    <w:p>
      <w:pPr>
        <w:spacing w:before="0" w:after="0" w:line="240" w:lineRule="exact"/>
        <w:jc w:val="left"/>
        <w:rPr>
          <w:rFonts w:ascii="宋体" w:hAnsi="宋体" w:eastAsia="宋体" w:cs="宋体"/>
          <w:sz w:val="18"/>
          <w:szCs w:val="18"/>
        </w:rPr>
      </w:pPr>
      <w:r>
        <w:rPr>
          <w:rFonts w:ascii="宋体" w:hAnsi="宋体" w:eastAsia="宋体" w:cs="宋体"/>
          <w:sz w:val="18"/>
          <w:szCs w:val="18"/>
        </w:rPr>
        <w:t>编制单位：青岛伟隆阀门股份有限公司</w:t>
      </w:r>
    </w:p>
    <w:p>
      <w:pPr>
        <w:spacing w:before="0" w:after="0" w:line="240" w:lineRule="exact"/>
        <w:jc w:val="center"/>
        <w:rPr>
          <w:rFonts w:ascii="宋体" w:hAnsi="宋体" w:eastAsia="宋体" w:cs="宋体"/>
          <w:sz w:val="18"/>
          <w:szCs w:val="18"/>
        </w:rPr>
      </w:pPr>
      <w:r>
        <w:rPr>
          <w:rFonts w:ascii="宋体" w:hAnsi="宋体" w:eastAsia="宋体" w:cs="宋体"/>
          <w:sz w:val="18"/>
          <w:szCs w:val="18"/>
        </w:rPr>
        <w:t>2022年09月30日</w:t>
      </w:r>
    </w:p>
    <w:p>
      <w:pPr>
        <w:spacing w:before="0" w:after="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2022年9月30日</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2022年1月1日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66,687,814.51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96,516,652.97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结算备付金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拆出资金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280,869,124.39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188,606,030.67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衍生金融资产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111,047,949.39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71,854,562.96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应收款项融资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2,434,900.00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11,585,000.00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预付款项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6,729,598.53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3,615,789.53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应收分保合同准备金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4,563,061.36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6,012,212.39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其中：应收利息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rPr>
            </w:pPr>
            <w:r>
              <w:rPr>
                <w:rFonts w:ascii="宋体" w:hAnsi="宋体" w:eastAsia="宋体" w:cs="宋体"/>
                <w:sz w:val="18"/>
                <w:szCs w:val="18"/>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买入返售金融资产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122,772,815.40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112,522,186.11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合同资产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持有待售资产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91,900,337.11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88,531,081.57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687,005,600.69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579,243,516.20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发放贷款和垫款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长期股权投资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其他权益工具投资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投资性房地产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1,355,985.59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5,578,661.78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233,641,686.46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250,212,871.99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8,178,396.02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4,649,676.26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生产性生物资产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油气资产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使用权资产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33,490,508.35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34,515,647.77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开发支出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长期待摊费用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2,114,344.81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1,212,383.99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递延所得税资产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14,836,590.63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14,220,282.37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1,011,000.00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247,500.00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非流动资产合计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294,628,511.86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310,637,024.16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资产总计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981,634,112.55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889,880,540.36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短期借款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40,008,333.33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向中央银行借款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拆入资金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衍生金融负债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45,153,727.40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38,786,483.35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49,010,252.57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57,589,689.24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预收款项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24,500,000.00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合同负债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19,009,517.04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16,522,851.95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卖出回购金融资产款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吸收存款及同业存放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代理买卖证券款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代理承销证券款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19,042,889.57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21,462,310.06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应交税费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20,363,462.29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4,962,868.65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25,823,439.14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34,116,462.22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rPr>
            </w:pPr>
            <w:r>
              <w:rPr>
                <w:rFonts w:ascii="宋体" w:hAnsi="宋体" w:eastAsia="宋体" w:cs="宋体"/>
                <w:sz w:val="18"/>
                <w:szCs w:val="18"/>
              </w:rPr>
              <w:t>应付股利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应付手续费及佣金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持有待售负债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393,918.86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391,593.99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218,805,540.20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229,332,259.46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保险合同准备金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rPr>
            </w:pPr>
            <w:r>
              <w:rPr>
                <w:rFonts w:ascii="宋体" w:hAnsi="宋体" w:eastAsia="宋体" w:cs="宋体"/>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租赁负债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预计负债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10,598,676.75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11,242,874.68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递延所得税负债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3,179,834.16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3,326,801.66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非流动负债合计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13,778,510.91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14,569,676.34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232,584,051.11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243,901,935.80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所有者权益：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股本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其他权益工具</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rPr>
            </w:pPr>
            <w:r>
              <w:rPr>
                <w:rFonts w:ascii="宋体" w:hAnsi="宋体" w:eastAsia="宋体" w:cs="宋体"/>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资本公积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184,481,241.72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181,594,520.64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减：库存股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15,588,460.90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6,306.82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56,755.28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专项储备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盈余公积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一般风险准备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315,572,557.42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254,565,955.29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归属于母公司所有者权益合计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711,908,698.26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645,978,604.56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37,141,363.18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749,050,061.44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645,978,604.56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负债和所有者权益总计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981,634,112.55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889,880,540.36</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法定代表人：范庆伟   </w:t>
      </w:r>
      <w:r>
        <w:rPr>
          <w:rFonts w:hint="default" w:ascii="宋体" w:hAnsi="宋体" w:cs="宋体"/>
          <w:sz w:val="18"/>
          <w:szCs w:val="18"/>
          <w:lang w:val="en-US"/>
        </w:rPr>
        <w:t xml:space="preserve">              </w:t>
      </w:r>
      <w:r>
        <w:rPr>
          <w:rFonts w:ascii="宋体" w:hAnsi="宋体" w:eastAsia="宋体" w:cs="宋体"/>
          <w:sz w:val="18"/>
          <w:szCs w:val="18"/>
        </w:rPr>
        <w:t xml:space="preserve"> 主管会计工作负责人：迟娜娜    </w:t>
      </w:r>
      <w:r>
        <w:rPr>
          <w:rFonts w:hint="default" w:ascii="宋体" w:hAnsi="宋体" w:cs="宋体"/>
          <w:sz w:val="18"/>
          <w:szCs w:val="18"/>
          <w:lang w:val="en-US"/>
        </w:rPr>
        <w:t xml:space="preserve">                </w:t>
      </w:r>
      <w:r>
        <w:rPr>
          <w:rFonts w:ascii="宋体" w:hAnsi="宋体" w:eastAsia="宋体" w:cs="宋体"/>
          <w:sz w:val="18"/>
          <w:szCs w:val="18"/>
        </w:rPr>
        <w:t xml:space="preserve">  会计机构负责人：王涛</w:t>
      </w:r>
    </w:p>
    <w:p>
      <w:pPr>
        <w:keepNext/>
        <w:keepLines/>
        <w:spacing w:before="300" w:after="300" w:line="280" w:lineRule="exact"/>
        <w:jc w:val="left"/>
        <w:outlineLvl w:val="2"/>
        <w:rPr>
          <w:rFonts w:ascii="宋体" w:hAnsi="宋体" w:eastAsia="宋体" w:cs="宋体"/>
          <w:b/>
          <w:bCs/>
          <w:sz w:val="21"/>
          <w:szCs w:val="21"/>
        </w:rPr>
      </w:pPr>
      <w:bookmarkStart w:id="11" w:name="_Toc988900"/>
      <w:r>
        <w:rPr>
          <w:rFonts w:ascii="宋体" w:hAnsi="宋体" w:eastAsia="宋体" w:cs="宋体"/>
          <w:b/>
          <w:bCs/>
          <w:sz w:val="21"/>
          <w:szCs w:val="21"/>
        </w:rPr>
        <w:t>2、合并年初到报告期末利润表</w:t>
      </w:r>
      <w:bookmarkEnd w:id="1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一、营业总收入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404,468,288.63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290,948,804.84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404,468,288.63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290,948,804.84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ascii="宋体" w:hAnsi="宋体" w:eastAsia="宋体" w:cs="宋体"/>
                <w:sz w:val="18"/>
                <w:szCs w:val="18"/>
              </w:rPr>
            </w:pPr>
            <w:r>
              <w:rPr>
                <w:rFonts w:ascii="宋体" w:hAnsi="宋体" w:eastAsia="宋体" w:cs="宋体"/>
                <w:sz w:val="18"/>
                <w:szCs w:val="18"/>
              </w:rPr>
              <w:t>已赚保费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ascii="宋体" w:hAnsi="宋体" w:eastAsia="宋体" w:cs="宋体"/>
                <w:sz w:val="18"/>
                <w:szCs w:val="18"/>
              </w:rPr>
            </w:pPr>
            <w:r>
              <w:rPr>
                <w:rFonts w:ascii="宋体" w:hAnsi="宋体" w:eastAsia="宋体" w:cs="宋体"/>
                <w:sz w:val="18"/>
                <w:szCs w:val="18"/>
              </w:rPr>
              <w:t>手续费及佣金收入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二、营业总成本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307,987,642.28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254,400,507.56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其中：营业成本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254,024,022.40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197,751,366.30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利息支出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手续费及佣金支出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退保金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赔付支出净额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提取保险责任准备金净额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保单红利支出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分保费用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ascii="宋体" w:hAnsi="宋体" w:eastAsia="宋体" w:cs="宋体"/>
                <w:sz w:val="18"/>
                <w:szCs w:val="18"/>
              </w:rPr>
            </w:pPr>
            <w:r>
              <w:rPr>
                <w:rFonts w:ascii="宋体" w:hAnsi="宋体" w:eastAsia="宋体" w:cs="宋体"/>
                <w:sz w:val="18"/>
                <w:szCs w:val="18"/>
              </w:rPr>
              <w:t>税金及附加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4,064,395.33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2,862,476.50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销售费用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18,369,193.27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19,371,073.12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管理费用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20,740,576.43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15,040,384.20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研发费用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19,510,433.89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18,274,997.01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财务费用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-8,720,979.04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1,100,210.43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其中：利息费用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1,121,583.32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753,787.38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jc w:val="left"/>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292,034.19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147,506.22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加：其他收益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2,576,190.53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2,359,188.30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投资收益（损失以“－”号填列）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48,201,051.39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12,087,603.49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其中：对联营企业和合营企业的投资收益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jc w:val="left"/>
              <w:rPr>
                <w:rFonts w:ascii="宋体" w:hAnsi="宋体" w:eastAsia="宋体" w:cs="宋体"/>
                <w:sz w:val="18"/>
                <w:szCs w:val="18"/>
              </w:rPr>
            </w:pPr>
            <w:r>
              <w:rPr>
                <w:rFonts w:ascii="宋体" w:hAnsi="宋体" w:eastAsia="宋体" w:cs="宋体"/>
                <w:sz w:val="18"/>
                <w:szCs w:val="18"/>
              </w:rPr>
              <w:t>以摊余成本计量的金融资产终止确认收益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汇兑收益（损失以“-”号填列）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净敞口套期收益（损失以“－”号填列）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公允价值变动收益（损失以“－”号填列）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-6,636,906.28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-2,118,053.18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信用减值损失（损失以“-”号填列）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-2,337,119.15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-1,782,273.00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资产减值损失（损失以“-”号填列）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-1,176,084.04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-467,166.51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资产处置收益（损失以“-”号填列）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810,361.60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94,373.84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三、营业利润（亏损以“－”号填列）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137,918,140.40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46,721,970.22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加：营业外收入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107,066.30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1,078,775.12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减：营业外支出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692,253.51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10,759.25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四、利润总额（亏损总额以“－”号填列）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137,332,953.19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47,789,986.09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减：所得税费用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20,178,590.77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4,531,828.95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五、净利润（净亏损以“－”号填列）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117,154,362.42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43,258,157.14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（一）按经营持续性分类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1.持续经营净利润（净亏损以“－”号填列）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117,154,362.42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43,258,157.14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2.终止经营净利润（净亏损以“－”号填列）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（二）按所有权归属分类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1.归属于母公司股东的净利润（净亏损以“-”号填列）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120,018,359.83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43,258,157.14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2.少数股东损益（净亏损以“-”号填列）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-2,863,997.41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六、其他综合收益的税后净额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6,306.82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33,202.53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归属母公司所有者的其他综合收益的税后净额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6,306.82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33,202.53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（一）不能重分类进损益的其他综合收益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1.重新计量设定受益计划变动额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2.权益法下不能转损益的其他综合收益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3.其他权益工具投资公允价值变动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4.企业自身信用风险公允价值变动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5.其他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（二）将重分类进损益的其他综合收益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6,306.82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33,202.53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1.权益法下可转损益的其他综合收益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2.其他债权投资公允价值变动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3.金融资产重分类计入其他综合收益的金额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4.其他债权投资信用减值准备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5.现金流量套期储备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6.外币财务报表折算差额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6,306.82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33,202.53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7.其他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归属于少数股东的其他综合收益的税后净额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七、综合收益总额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117,160,669.24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43,291,359.67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（一）归属于母公司所有者的综合收益总额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120,024,666.65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43,291,359.67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（二）归属于少数股东的综合收益总额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-2,863,997.41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八、每股收益：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（一）基本每股收益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0.71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（二）稀释每股收益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0.71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0.26</w:t>
            </w:r>
          </w:p>
        </w:tc>
      </w:tr>
    </w:tbl>
    <w:p>
      <w:pPr>
        <w:spacing w:before="0" w:after="0" w:line="240" w:lineRule="exact"/>
        <w:jc w:val="left"/>
        <w:rPr>
          <w:rFonts w:ascii="宋体" w:hAnsi="宋体" w:eastAsia="宋体" w:cs="宋体"/>
          <w:sz w:val="18"/>
          <w:szCs w:val="18"/>
        </w:rPr>
      </w:pPr>
      <w:r>
        <w:rPr>
          <w:rFonts w:ascii="宋体" w:hAnsi="宋体" w:eastAsia="宋体" w:cs="宋体"/>
          <w:sz w:val="18"/>
          <w:szCs w:val="18"/>
        </w:rPr>
        <w:t>本期发生同一控制下企业合并的，被合并方在合并前实现的净利润为：元，上期被合并方实现的净利润为：元。</w:t>
      </w:r>
    </w:p>
    <w:p>
      <w:pPr>
        <w:spacing w:before="0" w:after="0" w:line="240" w:lineRule="exact"/>
        <w:jc w:val="left"/>
        <w:rPr>
          <w:rFonts w:ascii="宋体" w:hAnsi="宋体" w:eastAsia="宋体" w:cs="宋体"/>
          <w:sz w:val="18"/>
          <w:szCs w:val="18"/>
        </w:rPr>
      </w:pPr>
      <w:r>
        <w:rPr>
          <w:rFonts w:ascii="宋体" w:hAnsi="宋体" w:eastAsia="宋体" w:cs="宋体"/>
          <w:sz w:val="18"/>
          <w:szCs w:val="18"/>
        </w:rPr>
        <w:t>法定代表人：范庆伟    主管会计工作负责人：迟娜娜    会计机构负责人：王涛</w:t>
      </w:r>
    </w:p>
    <w:p>
      <w:pPr>
        <w:keepNext/>
        <w:keepLines/>
        <w:spacing w:before="300" w:after="300" w:line="280" w:lineRule="exact"/>
        <w:jc w:val="left"/>
        <w:outlineLvl w:val="2"/>
        <w:rPr>
          <w:rFonts w:ascii="宋体" w:hAnsi="宋体" w:eastAsia="宋体" w:cs="宋体"/>
          <w:b/>
          <w:bCs/>
          <w:sz w:val="21"/>
          <w:szCs w:val="21"/>
        </w:rPr>
      </w:pPr>
      <w:bookmarkStart w:id="12" w:name="_Toc988901"/>
      <w:r>
        <w:rPr>
          <w:rFonts w:ascii="宋体" w:hAnsi="宋体" w:eastAsia="宋体" w:cs="宋体"/>
          <w:b/>
          <w:bCs/>
          <w:sz w:val="21"/>
          <w:szCs w:val="21"/>
        </w:rPr>
        <w:t>3、合并年初到报告期末现金流量表</w:t>
      </w:r>
      <w:bookmarkEnd w:id="12"/>
    </w:p>
    <w:p>
      <w:pPr>
        <w:spacing w:before="0" w:after="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一、经营活动产生的现金流量：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销售商品、提供劳务收到的现金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384,666,776.37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272,870,897.64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客户存款和同业存放款项净增加额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向中央银行借款净增加额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向其他金融机构拆入资金净增加额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收到原保险合同保费取得的现金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收到再保业务现金净额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保户储金及投资款净增加额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收取利息、手续费及佣金的现金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回购业务资金净增加额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代理买卖证券收到的现金净额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收到的税费返还</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26,550,201.16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17,035,430.26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1,606,102.80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2,352,799.48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412,823,080.33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292,259,127.38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购买商品、接受劳务支付的现金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239,559,143.36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228,119,919.73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客户贷款及垫款净增加额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存放中央银行和同业款项净增加额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支付原保险合同赔付款项的现金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拆出资金净增加额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支付保单红利的现金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支付给职工及为职工支付的现金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58,648,303.07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48,049,081.46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支付的各项税费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15,468,853.06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9,795,868.30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19,891,901.67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34,771,154.53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333,568,201.16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320,736,024.02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79,254,879.17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-28,476,896.64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二、投资活动产生的现金流量：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收回投资收到的现金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331,657,039.99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取得投资收益收到的现金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5,986,733.40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12,045,488.41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处置固定资产、无形资产和其他长期资产收回的现金净额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473,558.88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1,377,200.85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处置子公司及其他营业单位收到的现金净额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23,790,756.71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361,908,088.98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343,422,689.26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购建固定资产、无形资产和其他长期资产支付的现金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14,745,354.98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17,756,983.17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投资支付的现金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434,799,400.00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211,744,000.00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质押贷款净增加额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取得子公司及其他营业单位支付的现金净额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459,544,754.98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229,500,983.17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-97,636,666.00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113,921,706.09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三、筹资活动产生的现金流量：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吸收投资收到的现金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41,988,460.90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其中：子公司吸收少数股东投资收到的现金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取得借款收到的现金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111,988,460.90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偿还债务支付的现金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57,868,119.10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分配股利、利润或偿付利息支付的现金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60,125,007.69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53,337,077.38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其中：子公司支付给少数股东的股利、利润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29,999,850.00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121,125,007.69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141,205,046.48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-9,136,546.79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-92,205,046.48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四、汇率变动对现金及现金等价物的影响</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3,126,599.76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-124,905.24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五、现金及现金等价物净增加额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-24,391,733.86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-6,885,142.27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加：期初现金及现金等价物余额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80,991,568.72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41,657,412.55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六、期末现金及现金等价物余额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56,599,834.86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34,772,270.28</w:t>
            </w:r>
          </w:p>
        </w:tc>
      </w:tr>
    </w:tbl>
    <w:p>
      <w:pPr>
        <w:keepNext/>
        <w:keepLines/>
        <w:spacing w:before="300" w:after="300" w:line="280" w:lineRule="exact"/>
        <w:jc w:val="left"/>
        <w:outlineLvl w:val="1"/>
        <w:rPr>
          <w:rFonts w:ascii="宋体" w:hAnsi="宋体" w:eastAsia="宋体" w:cs="宋体"/>
          <w:b/>
          <w:bCs/>
          <w:sz w:val="25"/>
          <w:szCs w:val="25"/>
        </w:rPr>
      </w:pPr>
      <w:bookmarkStart w:id="13" w:name="_Toc988902"/>
      <w:r>
        <w:rPr>
          <w:rFonts w:ascii="宋体" w:hAnsi="宋体" w:eastAsia="宋体" w:cs="宋体"/>
          <w:b/>
          <w:bCs/>
          <w:sz w:val="25"/>
          <w:szCs w:val="25"/>
        </w:rPr>
        <w:t>（二） 审计报告</w:t>
      </w:r>
      <w:bookmarkEnd w:id="13"/>
    </w:p>
    <w:p>
      <w:pPr>
        <w:spacing w:before="40" w:after="40" w:line="240" w:lineRule="exact"/>
        <w:jc w:val="left"/>
        <w:rPr>
          <w:rFonts w:ascii="宋体" w:hAnsi="宋体" w:eastAsia="宋体" w:cs="宋体"/>
          <w:sz w:val="18"/>
          <w:szCs w:val="18"/>
        </w:rPr>
      </w:pPr>
      <w:r>
        <w:rPr>
          <w:rFonts w:ascii="宋体" w:hAnsi="宋体" w:eastAsia="宋体" w:cs="宋体"/>
          <w:sz w:val="18"/>
          <w:szCs w:val="18"/>
        </w:rPr>
        <w:t>第三季度报告是否经过审计</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公司第三季度报告未经审计。</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青岛伟隆阀门股份有限公司董事会</w:t>
      </w:r>
    </w:p>
    <w:p>
      <w:pPr>
        <w:spacing w:before="0" w:after="0" w:line="240" w:lineRule="exact"/>
        <w:jc w:val="right"/>
        <w:rPr>
          <w:rFonts w:ascii="宋体" w:hAnsi="宋体" w:eastAsia="宋体" w:cs="宋体"/>
          <w:sz w:val="18"/>
          <w:szCs w:val="18"/>
        </w:rPr>
      </w:pPr>
      <w:r>
        <w:rPr>
          <w:rFonts w:ascii="宋体" w:hAnsi="宋体" w:eastAsia="宋体" w:cs="宋体"/>
          <w:sz w:val="18"/>
          <w:szCs w:val="18"/>
        </w:rPr>
        <w:t>2022年10月27日</w:t>
      </w:r>
    </w:p>
    <w:sectPr>
      <w:headerReference r:id="rId3" w:type="default"/>
      <w:footerReference r:id="rId4" w:type="default"/>
      <w:pgSz w:w="11905" w:h="16840"/>
      <w:pgMar w:top="1440" w:right="1134" w:bottom="1440" w:left="1134" w:header="850" w:footer="992"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宋体" w:eastAsia="宋体"/>
        <w:sz w:val="18"/>
        <w:szCs w:val="18"/>
      </w:rPr>
      <w:fldChar w:fldCharType="begin"/>
    </w:r>
    <w:r>
      <w:rPr>
        <w:rFonts w:ascii="宋体" w:eastAsia="宋体"/>
        <w:sz w:val="18"/>
        <w:szCs w:val="18"/>
      </w:rPr>
      <w:instrText xml:space="preserve">PAGE   \* MERGEFORMAT</w:instrText>
    </w:r>
    <w:r>
      <w:rPr>
        <w:rFonts w:ascii="宋体" w:eastAsia="宋体"/>
        <w:sz w:val="18"/>
        <w:szCs w:val="18"/>
      </w:rPr>
      <w:fldChar w:fldCharType="separate"/>
    </w:r>
    <w:r>
      <w:rPr>
        <w:rFonts w:ascii="宋体" w:eastAsia="宋体"/>
        <w:sz w:val="18"/>
        <w:szCs w:val="18"/>
      </w:rPr>
      <w:t>1</w:t>
    </w:r>
    <w:r>
      <w:rPr>
        <w:rFonts w:ascii="宋体" w:eastAsia="宋体"/>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right"/>
    </w:pPr>
    <w:r>
      <w:rPr>
        <w:rFonts w:ascii="宋体" w:eastAsia="宋体"/>
        <w:sz w:val="18"/>
        <w:szCs w:val="18"/>
      </w:rPr>
      <w:t>青岛伟隆阀门股份有限公司2022年第三季度报告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doNotExpandShiftReturn/>
    <w:useFELayout/>
    <w:compatSetting w:name="compatibilityMode" w:uri="http://schemas.microsoft.com/office/word" w:val="14"/>
  </w:compat>
  <w:docVars>
    <w:docVar w:name="commondata" w:val="eyJoZGlkIjoiOTRiYWIwNzkzYTg0MzhhYmIxYTgwNmNhNDYxODQzNjMifQ=="/>
  </w:docVars>
  <w:rsids>
    <w:rsidRoot w:val="00000000"/>
    <w:rsid w:val="0F843B08"/>
    <w:rsid w:val="16100121"/>
    <w:rsid w:val="2E1F0FC6"/>
    <w:rsid w:val="37813DE2"/>
    <w:rsid w:val="57B67CA8"/>
    <w:rsid w:val="713A4B72"/>
    <w:rsid w:val="748E3F49"/>
    <w:rsid w:val="7F5942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14</Pages>
  <Words>7504</Words>
  <Characters>12353</Characters>
  <TotalTime>16</TotalTime>
  <ScaleCrop>false</ScaleCrop>
  <LinksUpToDate>false</LinksUpToDate>
  <CharactersWithSpaces>12456</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2022-10-24T03:38:00Z</dcterms:created>
  <dc:creator>Administrator.WINMICR-GFJCHI7</dc:creator>
  <cp:lastModifiedBy>Mr.翔</cp:lastModifiedBy>
  <dcterms:modified xsi:type="dcterms:W3CDTF">2022-10-27T02:34:13Z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9EF9413F139742E6947473FD013EABBD</vt:lpwstr>
  </property>
</Properties>
</file>