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56" w:beforeLines="50" w:after="156" w:afterLines="50" w:line="360" w:lineRule="auto"/>
        <w:jc w:val="center"/>
        <w:rPr>
          <w:rFonts w:cs="Times New Roman" w:asciiTheme="minorEastAsia" w:hAnsiTheme="minorEastAsia"/>
          <w:szCs w:val="21"/>
        </w:rPr>
      </w:pPr>
      <w:r>
        <w:rPr>
          <w:rFonts w:hint="eastAsia" w:cs="Times New Roman" w:asciiTheme="minorEastAsia" w:hAnsiTheme="minorEastAsia"/>
          <w:szCs w:val="21"/>
        </w:rPr>
        <w:t>证券代码：002871           证券简称：伟隆股份     公告编号：2023-</w:t>
      </w:r>
      <w:r>
        <w:rPr>
          <w:rFonts w:cs="Times New Roman" w:asciiTheme="minorEastAsia" w:hAnsiTheme="minorEastAsia"/>
          <w:szCs w:val="21"/>
        </w:rPr>
        <w:t>0</w:t>
      </w:r>
      <w:r>
        <w:rPr>
          <w:rFonts w:hint="eastAsia" w:cs="Times New Roman" w:asciiTheme="minorEastAsia" w:hAnsiTheme="minorEastAsia"/>
          <w:szCs w:val="21"/>
        </w:rPr>
        <w:t>1</w:t>
      </w:r>
      <w:r>
        <w:rPr>
          <w:rFonts w:cs="Times New Roman" w:asciiTheme="minorEastAsia" w:hAnsiTheme="minorEastAsia"/>
          <w:szCs w:val="21"/>
        </w:rPr>
        <w:t>3</w:t>
      </w:r>
    </w:p>
    <w:p>
      <w:pPr>
        <w:spacing w:before="156" w:beforeLines="50" w:after="156" w:afterLines="50" w:line="360" w:lineRule="auto"/>
        <w:jc w:val="center"/>
        <w:rPr>
          <w:rFonts w:cs="宋体" w:asciiTheme="minorEastAsia" w:hAnsiTheme="minorEastAsia"/>
          <w:b/>
          <w:bCs/>
          <w:sz w:val="28"/>
          <w:szCs w:val="24"/>
        </w:rPr>
      </w:pPr>
      <w:r>
        <w:rPr>
          <w:rFonts w:hint="eastAsia" w:asciiTheme="minorEastAsia" w:hAnsiTheme="minorEastAsia"/>
          <w:b/>
          <w:bCs/>
          <w:sz w:val="28"/>
        </w:rPr>
        <w:t>青岛伟隆阀门股份有限公司</w:t>
      </w:r>
    </w:p>
    <w:p>
      <w:pPr>
        <w:spacing w:before="156" w:beforeLines="50" w:after="156" w:afterLines="50" w:line="360" w:lineRule="auto"/>
        <w:jc w:val="center"/>
        <w:rPr>
          <w:rFonts w:asciiTheme="minorEastAsia" w:hAnsiTheme="minorEastAsia"/>
          <w:b/>
          <w:bCs/>
          <w:sz w:val="28"/>
        </w:rPr>
      </w:pPr>
      <w:r>
        <w:rPr>
          <w:rFonts w:hint="eastAsia" w:asciiTheme="minorEastAsia" w:hAnsiTheme="minorEastAsia"/>
          <w:b/>
          <w:bCs/>
          <w:sz w:val="28"/>
        </w:rPr>
        <w:t>关于投资建设智慧节能阀门建设项目的公告</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spacing w:before="156" w:beforeLines="50" w:after="156" w:afterLines="50" w:line="360" w:lineRule="auto"/>
              <w:ind w:firstLine="420" w:firstLineChars="200"/>
              <w:rPr>
                <w:rFonts w:asciiTheme="minorEastAsia" w:hAnsiTheme="minorEastAsia"/>
                <w:sz w:val="24"/>
              </w:rPr>
            </w:pPr>
            <w:r>
              <w:rPr>
                <w:rFonts w:hint="eastAsia" w:asciiTheme="minorEastAsia" w:hAnsiTheme="minorEastAsia"/>
              </w:rPr>
              <w:t>本公司及董事会全体成员保证信息披露内容的真实、准确和完整，没有虚假记载、误导性陈述或重大遗漏。</w:t>
            </w:r>
          </w:p>
        </w:tc>
      </w:tr>
    </w:tbl>
    <w:p>
      <w:pPr>
        <w:spacing w:line="360" w:lineRule="auto"/>
        <w:rPr>
          <w:rFonts w:ascii="Times New Roman" w:hAnsi="Times New Roman" w:cs="Times New Roman"/>
          <w:snapToGrid w:val="0"/>
          <w:sz w:val="24"/>
          <w:szCs w:val="24"/>
        </w:rPr>
      </w:pPr>
    </w:p>
    <w:p>
      <w:pPr>
        <w:snapToGrid w:val="0"/>
        <w:spacing w:before="156" w:beforeLines="50" w:line="360" w:lineRule="auto"/>
        <w:ind w:firstLine="482"/>
        <w:rPr>
          <w:rFonts w:ascii="Times New Roman" w:hAnsi="Times New Roman" w:cs="Times New Roman"/>
          <w:sz w:val="24"/>
        </w:rPr>
      </w:pPr>
      <w:r>
        <w:rPr>
          <w:rFonts w:hint="eastAsia" w:ascii="Times New Roman" w:hAnsi="Times New Roman" w:cs="Times New Roman"/>
          <w:sz w:val="24"/>
        </w:rPr>
        <w:t>青岛伟隆阀门股份有限公司（以下简称“公司”）于2</w:t>
      </w:r>
      <w:r>
        <w:rPr>
          <w:rFonts w:ascii="Times New Roman" w:hAnsi="Times New Roman" w:cs="Times New Roman"/>
          <w:sz w:val="24"/>
        </w:rPr>
        <w:t>023</w:t>
      </w:r>
      <w:r>
        <w:rPr>
          <w:rFonts w:hint="eastAsia" w:ascii="Times New Roman" w:hAnsi="Times New Roman" w:cs="Times New Roman"/>
          <w:sz w:val="24"/>
        </w:rPr>
        <w:t>年1月1</w:t>
      </w:r>
      <w:r>
        <w:rPr>
          <w:rFonts w:ascii="Times New Roman" w:hAnsi="Times New Roman" w:cs="Times New Roman"/>
          <w:sz w:val="24"/>
        </w:rPr>
        <w:t>6</w:t>
      </w:r>
      <w:r>
        <w:rPr>
          <w:rFonts w:hint="eastAsia" w:ascii="Times New Roman" w:hAnsi="Times New Roman" w:cs="Times New Roman"/>
          <w:sz w:val="24"/>
        </w:rPr>
        <w:t>日召开了第四届董事会第十七次会议，审议通过了《关于投资建设智慧节能阀门建设项目的议案》。公司拟投资建设“智慧节能阀门建设项目”，项目建设周期为</w:t>
      </w:r>
      <w:r>
        <w:rPr>
          <w:rFonts w:ascii="Times New Roman" w:hAnsi="Times New Roman" w:cs="Times New Roman"/>
          <w:sz w:val="24"/>
        </w:rPr>
        <w:t>36</w:t>
      </w:r>
      <w:r>
        <w:rPr>
          <w:rFonts w:hint="eastAsia" w:ascii="Times New Roman" w:hAnsi="Times New Roman" w:cs="Times New Roman"/>
          <w:sz w:val="24"/>
        </w:rPr>
        <w:t>个月，项目总投资为2</w:t>
      </w:r>
      <w:r>
        <w:rPr>
          <w:rFonts w:ascii="Times New Roman" w:hAnsi="Times New Roman" w:cs="Times New Roman"/>
          <w:sz w:val="24"/>
        </w:rPr>
        <w:t>9,377.91</w:t>
      </w:r>
      <w:r>
        <w:rPr>
          <w:rFonts w:hint="eastAsia" w:ascii="Times New Roman" w:hAnsi="Times New Roman" w:cs="Times New Roman"/>
          <w:sz w:val="24"/>
        </w:rPr>
        <w:t>万元，本事项无需提交股东大会审议。本事项不构成关联交易，亦不构成《上市公司重大资产重组管理办法》规定的重大资产重组。现将具体内容公告如下：</w:t>
      </w:r>
    </w:p>
    <w:p>
      <w:pPr>
        <w:pStyle w:val="21"/>
        <w:numPr>
          <w:ilvl w:val="0"/>
          <w:numId w:val="1"/>
        </w:numPr>
        <w:snapToGrid w:val="0"/>
        <w:spacing w:before="156" w:beforeLines="50" w:line="360" w:lineRule="auto"/>
        <w:ind w:firstLineChars="0"/>
        <w:rPr>
          <w:rFonts w:ascii="Times New Roman" w:hAnsi="Times New Roman" w:cs="Times New Roman"/>
          <w:b/>
          <w:bCs/>
          <w:sz w:val="24"/>
        </w:rPr>
      </w:pPr>
      <w:r>
        <w:rPr>
          <w:rFonts w:hint="eastAsia" w:ascii="Times New Roman" w:hAnsi="Times New Roman" w:cs="Times New Roman"/>
          <w:b/>
          <w:bCs/>
          <w:sz w:val="24"/>
        </w:rPr>
        <w:t>本项目实施主体</w:t>
      </w:r>
    </w:p>
    <w:tbl>
      <w:tblPr>
        <w:tblStyle w:val="7"/>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公司名称</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青岛伟隆阀门股份有限公司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法定代表人</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范庆伟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注册资本</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6,887.7148</w:t>
            </w:r>
            <w:r>
              <w:rPr>
                <w:rFonts w:hint="eastAsia" w:ascii="Times New Roman" w:hAnsi="Times New Roman" w:cs="Times New Roman"/>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成立日期</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995</w:t>
            </w:r>
            <w:r>
              <w:rPr>
                <w:rFonts w:hint="eastAsia" w:ascii="Times New Roman" w:hAnsi="Times New Roman" w:cs="Times New Roman"/>
                <w:szCs w:val="21"/>
              </w:rPr>
              <w:t>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注册地址</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山东省青岛市高新区春阳路7</w:t>
            </w:r>
            <w:r>
              <w:rPr>
                <w:rFonts w:ascii="Times New Roman" w:hAnsi="Times New Roman" w:cs="Times New Roman"/>
                <w:szCs w:val="21"/>
              </w:rPr>
              <w:t>89</w:t>
            </w:r>
            <w:r>
              <w:rPr>
                <w:rFonts w:hint="eastAsia" w:ascii="Times New Roman" w:hAnsi="Times New Roman"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vAlign w:val="center"/>
          </w:tcPr>
          <w:p>
            <w:pPr>
              <w:snapToGrid w:val="0"/>
              <w:spacing w:line="240" w:lineRule="auto"/>
              <w:jc w:val="center"/>
              <w:rPr>
                <w:rFonts w:ascii="Times New Roman" w:hAnsi="Times New Roman" w:cs="Times New Roman"/>
                <w:b/>
                <w:bCs/>
                <w:szCs w:val="21"/>
              </w:rPr>
            </w:pPr>
            <w:r>
              <w:rPr>
                <w:rFonts w:hint="eastAsia" w:ascii="Times New Roman" w:hAnsi="Times New Roman" w:cs="Times New Roman"/>
                <w:b/>
                <w:bCs/>
                <w:szCs w:val="21"/>
              </w:rPr>
              <w:t>经营范围</w:t>
            </w:r>
          </w:p>
        </w:tc>
        <w:tc>
          <w:tcPr>
            <w:tcW w:w="6287" w:type="dxa"/>
          </w:tcPr>
          <w:p>
            <w:pPr>
              <w:snapToGrid w:val="0"/>
              <w:spacing w:line="240" w:lineRule="auto"/>
              <w:rPr>
                <w:rFonts w:ascii="Times New Roman" w:hAnsi="Times New Roman" w:cs="Times New Roman"/>
                <w:szCs w:val="21"/>
              </w:rPr>
            </w:pPr>
            <w:r>
              <w:rPr>
                <w:rFonts w:hint="eastAsia" w:ascii="Times New Roman" w:hAnsi="Times New Roman" w:cs="Times New Roman"/>
                <w:szCs w:val="21"/>
              </w:rPr>
              <w:t>制造销售消防阀门、消防栓、消防设备配件(不含国家限制品种)、阀门及其配件、管件、机械配件,批发、零售工艺品、服装鞋帽、五金、化工产品(不含危险化学品)、普通机械、建筑材料、计算机及其配件,货物进出口、技术进出口;海洋水质与生态环境监测仪器设备销售;海洋环境监测与探测装备销售;导航、测绘、气象及海洋专用仪器销售;海洋环境服务;海洋工程关键配套系统开发;海洋工程装备销售;制造、销售汽车农机零部件;制造、销售机床床身及零部件;制造销售密封件、橡胶制品。(法律、行政法规禁止的项目除外;法律、行政法规限制的项目取得许可后方可经营。(依法须经批准的项目,经相关部门批准后方可开展经营活动)。</w:t>
            </w:r>
          </w:p>
        </w:tc>
      </w:tr>
    </w:tbl>
    <w:p>
      <w:pPr>
        <w:pStyle w:val="21"/>
        <w:numPr>
          <w:ilvl w:val="0"/>
          <w:numId w:val="1"/>
        </w:numPr>
        <w:snapToGrid w:val="0"/>
        <w:spacing w:before="156" w:beforeLines="50" w:line="360" w:lineRule="auto"/>
        <w:ind w:firstLineChars="0"/>
        <w:rPr>
          <w:rFonts w:ascii="Times New Roman" w:hAnsi="Times New Roman" w:cs="Times New Roman"/>
          <w:b/>
          <w:bCs/>
          <w:sz w:val="24"/>
        </w:rPr>
      </w:pPr>
      <w:r>
        <w:rPr>
          <w:rFonts w:hint="eastAsia" w:ascii="Times New Roman" w:hAnsi="Times New Roman" w:cs="Times New Roman"/>
          <w:b/>
          <w:bCs/>
          <w:sz w:val="24"/>
        </w:rPr>
        <w:t>本次拟投资项目的基本情况</w:t>
      </w:r>
    </w:p>
    <w:p>
      <w:pPr>
        <w:snapToGrid w:val="0"/>
        <w:spacing w:before="156" w:beforeLines="50" w:after="156" w:afterLines="50" w:line="360" w:lineRule="auto"/>
        <w:ind w:firstLine="480"/>
        <w:rPr>
          <w:b/>
          <w:bCs/>
          <w:sz w:val="24"/>
          <w:szCs w:val="24"/>
        </w:rPr>
      </w:pPr>
      <w:r>
        <w:rPr>
          <w:rFonts w:hint="eastAsia"/>
          <w:b/>
          <w:bCs/>
          <w:sz w:val="24"/>
          <w:szCs w:val="24"/>
        </w:rPr>
        <w:t>（一）项目名称</w:t>
      </w:r>
    </w:p>
    <w:p>
      <w:pPr>
        <w:snapToGrid w:val="0"/>
        <w:spacing w:before="156" w:beforeLines="50" w:after="156" w:afterLines="50" w:line="360" w:lineRule="auto"/>
        <w:ind w:firstLine="480" w:firstLineChars="200"/>
        <w:rPr>
          <w:sz w:val="24"/>
          <w:szCs w:val="24"/>
        </w:rPr>
      </w:pPr>
      <w:r>
        <w:rPr>
          <w:rFonts w:hint="eastAsia"/>
          <w:sz w:val="24"/>
          <w:szCs w:val="24"/>
        </w:rPr>
        <w:t>智慧节能阀门建设项目。</w:t>
      </w:r>
    </w:p>
    <w:p>
      <w:pPr>
        <w:snapToGrid w:val="0"/>
        <w:spacing w:before="156" w:beforeLines="50" w:after="156" w:afterLines="50" w:line="360" w:lineRule="auto"/>
        <w:ind w:firstLine="480"/>
        <w:rPr>
          <w:sz w:val="24"/>
          <w:szCs w:val="24"/>
        </w:rPr>
      </w:pPr>
      <w:r>
        <w:rPr>
          <w:rFonts w:hint="eastAsia"/>
          <w:sz w:val="24"/>
          <w:szCs w:val="24"/>
        </w:rPr>
        <w:t>（</w:t>
      </w:r>
      <w:r>
        <w:rPr>
          <w:rFonts w:hint="eastAsia" w:ascii="Times New Roman" w:hAnsi="Times New Roman" w:cs="Times New Roman"/>
          <w:b/>
          <w:bCs/>
          <w:sz w:val="24"/>
        </w:rPr>
        <w:t>二）项目建设地点</w:t>
      </w:r>
    </w:p>
    <w:p>
      <w:pPr>
        <w:spacing w:before="156" w:beforeLines="50" w:after="156" w:afterLines="50" w:line="360" w:lineRule="auto"/>
        <w:ind w:firstLine="480" w:firstLineChars="200"/>
        <w:rPr>
          <w:rFonts w:ascii="宋体" w:hAnsi="宋体" w:eastAsia="宋体" w:cs="Times New Roman"/>
          <w:sz w:val="24"/>
          <w:szCs w:val="24"/>
        </w:rPr>
      </w:pPr>
      <w:r>
        <w:rPr>
          <w:rFonts w:hint="eastAsia" w:ascii="宋体" w:hAnsi="宋体" w:eastAsia="宋体" w:cs="宋体"/>
          <w:sz w:val="24"/>
          <w:szCs w:val="24"/>
        </w:rPr>
        <w:t>本项目拟建设地点位于青岛市高新技术产业开发区科韵路东延长线以南、春阳路以北、华贯路以东、规划华东路以西地块</w:t>
      </w:r>
      <w:r>
        <w:rPr>
          <w:rFonts w:hint="eastAsia" w:ascii="宋体" w:hAnsi="宋体" w:eastAsia="宋体" w:cs="Times New Roman"/>
          <w:sz w:val="24"/>
          <w:szCs w:val="24"/>
        </w:rPr>
        <w:t>。截至本公告出具日，公司尚未取得该地块土地使用权。</w:t>
      </w:r>
    </w:p>
    <w:p>
      <w:pPr>
        <w:spacing w:before="156" w:beforeLines="50" w:after="156" w:afterLines="50" w:line="360" w:lineRule="auto"/>
        <w:ind w:firstLine="480"/>
        <w:rPr>
          <w:rFonts w:ascii="Times New Roman" w:hAnsi="Times New Roman" w:cs="Times New Roman"/>
          <w:b/>
          <w:bCs/>
          <w:sz w:val="24"/>
          <w:szCs w:val="24"/>
        </w:rPr>
      </w:pPr>
      <w:r>
        <w:rPr>
          <w:rFonts w:hint="eastAsia" w:ascii="Times New Roman" w:hAnsi="Times New Roman" w:cs="Times New Roman"/>
          <w:b/>
          <w:bCs/>
          <w:sz w:val="24"/>
          <w:szCs w:val="24"/>
        </w:rPr>
        <w:t>（三）项目投资</w:t>
      </w:r>
    </w:p>
    <w:p>
      <w:pPr>
        <w:spacing w:before="156" w:beforeLines="50" w:after="156" w:afterLines="5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本项目总投资29,377.91万元</w:t>
      </w:r>
      <w:r>
        <w:rPr>
          <w:rFonts w:hint="eastAsia" w:ascii="Times New Roman" w:hAnsi="Times New Roman" w:cs="Times New Roman"/>
          <w:sz w:val="24"/>
          <w:szCs w:val="24"/>
        </w:rPr>
        <w:t>。</w:t>
      </w:r>
    </w:p>
    <w:p>
      <w:pPr>
        <w:spacing w:before="156" w:beforeLines="50" w:after="156" w:afterLines="50" w:line="360" w:lineRule="auto"/>
        <w:ind w:firstLine="480"/>
        <w:rPr>
          <w:rFonts w:ascii="Times New Roman" w:hAnsi="Times New Roman" w:cs="Times New Roman"/>
          <w:b/>
          <w:bCs/>
          <w:sz w:val="24"/>
          <w:szCs w:val="24"/>
        </w:rPr>
      </w:pPr>
      <w:r>
        <w:rPr>
          <w:rFonts w:hint="eastAsia" w:ascii="Times New Roman" w:hAnsi="Times New Roman" w:cs="Times New Roman"/>
          <w:b/>
          <w:bCs/>
          <w:sz w:val="24"/>
          <w:szCs w:val="24"/>
        </w:rPr>
        <w:t>（四）建设周期</w:t>
      </w:r>
    </w:p>
    <w:p>
      <w:pPr>
        <w:spacing w:before="156" w:beforeLines="50" w:after="156" w:afterLines="50"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本项目建设周期为3</w:t>
      </w:r>
      <w:r>
        <w:rPr>
          <w:rFonts w:ascii="Times New Roman" w:hAnsi="Times New Roman" w:cs="Times New Roman"/>
          <w:sz w:val="24"/>
          <w:szCs w:val="24"/>
        </w:rPr>
        <w:t>6</w:t>
      </w:r>
      <w:r>
        <w:rPr>
          <w:rFonts w:hint="eastAsia" w:ascii="Times New Roman" w:hAnsi="Times New Roman" w:cs="Times New Roman"/>
          <w:sz w:val="24"/>
          <w:szCs w:val="24"/>
        </w:rPr>
        <w:t>个月。</w:t>
      </w:r>
    </w:p>
    <w:p>
      <w:pPr>
        <w:spacing w:before="156" w:beforeLines="50" w:after="156" w:afterLines="50" w:line="360" w:lineRule="auto"/>
        <w:ind w:firstLine="480"/>
        <w:rPr>
          <w:rFonts w:ascii="Times New Roman" w:hAnsi="Times New Roman" w:cs="Times New Roman"/>
          <w:b/>
          <w:bCs/>
          <w:sz w:val="24"/>
          <w:szCs w:val="24"/>
        </w:rPr>
      </w:pPr>
      <w:r>
        <w:rPr>
          <w:rFonts w:hint="eastAsia" w:ascii="Times New Roman" w:hAnsi="Times New Roman" w:cs="Times New Roman"/>
          <w:b/>
          <w:bCs/>
          <w:sz w:val="24"/>
          <w:szCs w:val="24"/>
        </w:rPr>
        <w:t>（五）项目产品</w:t>
      </w:r>
    </w:p>
    <w:p>
      <w:pPr>
        <w:spacing w:before="156" w:beforeLines="50" w:after="156" w:afterLines="50"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本项目主要产品为智慧节能阀门。</w:t>
      </w:r>
    </w:p>
    <w:p>
      <w:pPr>
        <w:spacing w:before="156" w:beforeLines="50" w:after="156" w:afterLines="50" w:line="360" w:lineRule="auto"/>
        <w:ind w:firstLine="480"/>
        <w:rPr>
          <w:rFonts w:ascii="Times New Roman" w:hAnsi="Times New Roman" w:cs="Times New Roman"/>
          <w:b/>
          <w:bCs/>
          <w:sz w:val="24"/>
          <w:szCs w:val="24"/>
        </w:rPr>
      </w:pPr>
      <w:r>
        <w:rPr>
          <w:rFonts w:hint="eastAsia" w:ascii="Times New Roman" w:hAnsi="Times New Roman" w:cs="Times New Roman"/>
          <w:b/>
          <w:bCs/>
          <w:sz w:val="24"/>
          <w:szCs w:val="24"/>
        </w:rPr>
        <w:t>（六）项目财务效益预测</w:t>
      </w:r>
    </w:p>
    <w:p>
      <w:pPr>
        <w:widowControl/>
        <w:adjustRightInd/>
        <w:spacing w:before="156" w:beforeLines="50"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本项目工程建成达产后静态投资回收期（税后）为7.58年（包括建设期），具有良好的经济效益。</w:t>
      </w:r>
    </w:p>
    <w:p>
      <w:pPr>
        <w:widowControl/>
        <w:adjustRightInd/>
        <w:spacing w:before="156" w:beforeLines="50" w:after="156" w:afterLines="50" w:line="360" w:lineRule="auto"/>
        <w:ind w:firstLine="482" w:firstLineChars="200"/>
        <w:rPr>
          <w:rFonts w:ascii="Times New Roman" w:hAnsi="Times New Roman" w:eastAsia="宋体" w:cs="宋体"/>
          <w:b/>
          <w:bCs/>
          <w:sz w:val="24"/>
          <w:szCs w:val="24"/>
        </w:rPr>
      </w:pPr>
      <w:r>
        <w:rPr>
          <w:rFonts w:hint="eastAsia" w:ascii="Times New Roman" w:hAnsi="Times New Roman" w:eastAsia="宋体" w:cs="宋体"/>
          <w:b/>
          <w:bCs/>
          <w:sz w:val="24"/>
          <w:szCs w:val="24"/>
        </w:rPr>
        <w:t>三、本项目的风险评价</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本投资建设项目受市场环境变化、行业政策变化等不可抗力影响，在后续的实施过程中存在不确定性。项目未来的经营业绩受市场行情波动等因素的影响，也存在不确定性。项目建设周期较长，投产后可能存在因市场供给关系发生较大变化及国家相关政策发生重大调整，导致市场价格大幅下滑，进而导致项目经济效益不达预期的风险。</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公司将加强项目实施监督管理和风险控制，并根据项目的推进情况，及时履行审批程序和信息披露义务，请广大投资者注意投资风险。</w:t>
      </w:r>
    </w:p>
    <w:p>
      <w:pPr>
        <w:spacing w:before="156" w:beforeLines="50" w:after="156" w:afterLines="50" w:line="360" w:lineRule="auto"/>
        <w:ind w:firstLine="482" w:firstLineChars="200"/>
        <w:rPr>
          <w:rFonts w:ascii="宋体" w:hAnsi="宋体" w:eastAsia="宋体"/>
          <w:b/>
          <w:bCs/>
          <w:sz w:val="24"/>
          <w:szCs w:val="24"/>
        </w:rPr>
      </w:pPr>
      <w:r>
        <w:rPr>
          <w:rFonts w:hint="eastAsia" w:ascii="宋体" w:hAnsi="宋体" w:eastAsia="宋体"/>
          <w:b/>
          <w:bCs/>
          <w:sz w:val="24"/>
          <w:szCs w:val="24"/>
        </w:rPr>
        <w:t>四、本次项目投资的目的及对公司的影响</w:t>
      </w:r>
    </w:p>
    <w:p>
      <w:pPr>
        <w:spacing w:before="156" w:beforeLines="50" w:after="156" w:afterLines="50" w:line="360" w:lineRule="auto"/>
        <w:ind w:firstLine="480" w:firstLineChars="200"/>
        <w:rPr>
          <w:sz w:val="24"/>
          <w:szCs w:val="24"/>
        </w:rPr>
      </w:pPr>
      <w:r>
        <w:rPr>
          <w:sz w:val="24"/>
          <w:szCs w:val="24"/>
        </w:rPr>
        <w:t>本项目的建设和实施有利于进一步提升</w:t>
      </w:r>
      <w:r>
        <w:rPr>
          <w:rFonts w:hint="eastAsia"/>
          <w:sz w:val="24"/>
          <w:szCs w:val="24"/>
        </w:rPr>
        <w:t>公司</w:t>
      </w:r>
      <w:r>
        <w:rPr>
          <w:sz w:val="24"/>
          <w:szCs w:val="24"/>
        </w:rPr>
        <w:t>产能，夯实公司</w:t>
      </w:r>
      <w:r>
        <w:rPr>
          <w:rFonts w:hint="eastAsia"/>
          <w:sz w:val="24"/>
          <w:szCs w:val="24"/>
        </w:rPr>
        <w:t>阀门</w:t>
      </w:r>
      <w:r>
        <w:rPr>
          <w:sz w:val="24"/>
          <w:szCs w:val="24"/>
        </w:rPr>
        <w:t>主业；有利于发挥公司规模效应优势，壮大公司综合实力；有利于提升公司</w:t>
      </w:r>
      <w:r>
        <w:rPr>
          <w:rFonts w:hint="eastAsia"/>
          <w:sz w:val="24"/>
          <w:szCs w:val="24"/>
        </w:rPr>
        <w:t>行业竞争</w:t>
      </w:r>
      <w:r>
        <w:rPr>
          <w:sz w:val="24"/>
          <w:szCs w:val="24"/>
        </w:rPr>
        <w:t>能力，巩固行业领先地位；有利于顺应产业发展趋势，扩大公司技术领先优势；有利于扩大新型</w:t>
      </w:r>
      <w:r>
        <w:rPr>
          <w:rFonts w:hint="eastAsia"/>
          <w:sz w:val="24"/>
          <w:szCs w:val="24"/>
        </w:rPr>
        <w:t>智慧节能阀门</w:t>
      </w:r>
      <w:r>
        <w:rPr>
          <w:sz w:val="24"/>
          <w:szCs w:val="24"/>
        </w:rPr>
        <w:t>技术的应用，为国家</w:t>
      </w:r>
      <w:r>
        <w:rPr>
          <w:rFonts w:hint="eastAsia"/>
          <w:sz w:val="24"/>
          <w:szCs w:val="24"/>
        </w:rPr>
        <w:t>相关</w:t>
      </w:r>
      <w:r>
        <w:rPr>
          <w:sz w:val="24"/>
          <w:szCs w:val="24"/>
        </w:rPr>
        <w:t>产业转型升级实现高质量发展提供示范，促进公司长期稳定发展。</w:t>
      </w:r>
    </w:p>
    <w:p>
      <w:pPr>
        <w:spacing w:before="156" w:beforeLines="50" w:after="156" w:afterLines="50" w:line="360" w:lineRule="auto"/>
        <w:ind w:firstLine="482" w:firstLineChars="200"/>
        <w:rPr>
          <w:b/>
          <w:bCs/>
          <w:sz w:val="24"/>
          <w:szCs w:val="24"/>
        </w:rPr>
      </w:pPr>
      <w:r>
        <w:rPr>
          <w:rFonts w:hint="eastAsia"/>
          <w:b/>
          <w:bCs/>
          <w:sz w:val="24"/>
          <w:szCs w:val="24"/>
        </w:rPr>
        <w:t>五、备查文件</w:t>
      </w:r>
    </w:p>
    <w:p>
      <w:pPr>
        <w:spacing w:before="156" w:beforeLines="50" w:after="156" w:afterLines="50" w:line="360" w:lineRule="auto"/>
        <w:ind w:firstLine="480" w:firstLineChars="200"/>
        <w:rPr>
          <w:rFonts w:hint="eastAsia" w:eastAsiaTheme="minorEastAsia"/>
          <w:sz w:val="24"/>
          <w:szCs w:val="24"/>
          <w:lang w:eastAsia="zh-CN"/>
        </w:rPr>
      </w:pPr>
      <w:r>
        <w:rPr>
          <w:rFonts w:hint="default"/>
          <w:sz w:val="24"/>
          <w:szCs w:val="24"/>
          <w:lang w:val="en-US"/>
        </w:rPr>
        <w:t>1</w:t>
      </w:r>
      <w:r>
        <w:rPr>
          <w:rFonts w:hint="eastAsia"/>
          <w:sz w:val="24"/>
          <w:szCs w:val="24"/>
          <w:lang w:val="en-US" w:eastAsia="zh-CN"/>
        </w:rPr>
        <w:t>、</w:t>
      </w:r>
      <w:r>
        <w:rPr>
          <w:rFonts w:hint="eastAsia"/>
          <w:sz w:val="24"/>
          <w:szCs w:val="24"/>
        </w:rPr>
        <w:t>《青岛伟隆阀门股份有限公司第四届董事会第十七次会议决议》</w:t>
      </w:r>
      <w:r>
        <w:rPr>
          <w:rFonts w:hint="eastAsia"/>
          <w:sz w:val="24"/>
          <w:szCs w:val="24"/>
          <w:lang w:eastAsia="zh-CN"/>
        </w:rPr>
        <w:t>；</w:t>
      </w:r>
    </w:p>
    <w:p>
      <w:pPr>
        <w:spacing w:before="156" w:beforeLines="50" w:after="156" w:afterLines="50" w:line="360" w:lineRule="auto"/>
        <w:ind w:firstLine="480" w:firstLineChars="200"/>
        <w:rPr>
          <w:sz w:val="24"/>
          <w:szCs w:val="24"/>
        </w:rPr>
      </w:pPr>
      <w:r>
        <w:rPr>
          <w:rFonts w:hint="eastAsia"/>
          <w:sz w:val="24"/>
          <w:szCs w:val="24"/>
          <w:lang w:val="en-US" w:eastAsia="zh-CN"/>
        </w:rPr>
        <w:t>2</w:t>
      </w:r>
      <w:bookmarkStart w:id="0" w:name="_GoBack"/>
      <w:bookmarkEnd w:id="0"/>
      <w:r>
        <w:rPr>
          <w:rFonts w:hint="eastAsia"/>
          <w:sz w:val="24"/>
          <w:szCs w:val="24"/>
          <w:lang w:val="en-US" w:eastAsia="zh-CN"/>
        </w:rPr>
        <w:t>、</w:t>
      </w:r>
      <w:r>
        <w:rPr>
          <w:rFonts w:hint="eastAsia"/>
          <w:sz w:val="24"/>
          <w:szCs w:val="24"/>
        </w:rPr>
        <w:t>《青岛伟隆阀门股份有限公司第四届</w:t>
      </w:r>
      <w:r>
        <w:rPr>
          <w:rFonts w:hint="eastAsia"/>
          <w:sz w:val="24"/>
          <w:szCs w:val="24"/>
          <w:lang w:eastAsia="zh-CN"/>
        </w:rPr>
        <w:t>监</w:t>
      </w:r>
      <w:r>
        <w:rPr>
          <w:rFonts w:hint="eastAsia"/>
          <w:sz w:val="24"/>
          <w:szCs w:val="24"/>
        </w:rPr>
        <w:t>事会第十</w:t>
      </w:r>
      <w:r>
        <w:rPr>
          <w:rFonts w:hint="eastAsia"/>
          <w:sz w:val="24"/>
          <w:szCs w:val="24"/>
          <w:lang w:eastAsia="zh-CN"/>
        </w:rPr>
        <w:t>四</w:t>
      </w:r>
      <w:r>
        <w:rPr>
          <w:rFonts w:hint="eastAsia"/>
          <w:sz w:val="24"/>
          <w:szCs w:val="24"/>
        </w:rPr>
        <w:t>次会议决议》。</w:t>
      </w:r>
    </w:p>
    <w:p>
      <w:pPr>
        <w:spacing w:before="156" w:beforeLines="50" w:after="156" w:afterLines="50" w:line="360" w:lineRule="auto"/>
        <w:ind w:firstLine="480" w:firstLineChars="200"/>
        <w:rPr>
          <w:sz w:val="24"/>
          <w:szCs w:val="24"/>
        </w:rPr>
      </w:pPr>
    </w:p>
    <w:p>
      <w:pPr>
        <w:spacing w:before="156" w:beforeLines="50" w:after="156" w:afterLines="50" w:line="360" w:lineRule="auto"/>
        <w:ind w:firstLine="480" w:firstLineChars="200"/>
        <w:rPr>
          <w:sz w:val="24"/>
          <w:szCs w:val="24"/>
        </w:rPr>
      </w:pPr>
      <w:r>
        <w:rPr>
          <w:rFonts w:hint="eastAsia"/>
          <w:sz w:val="24"/>
          <w:szCs w:val="24"/>
        </w:rPr>
        <w:t>特此公告。</w:t>
      </w:r>
    </w:p>
    <w:p>
      <w:pPr>
        <w:spacing w:before="156" w:beforeLines="50" w:after="156" w:afterLines="50" w:line="360" w:lineRule="auto"/>
        <w:ind w:firstLine="480" w:firstLineChars="200"/>
        <w:rPr>
          <w:rFonts w:ascii="宋体" w:hAnsi="宋体" w:eastAsia="宋体"/>
          <w:sz w:val="24"/>
          <w:szCs w:val="24"/>
        </w:rPr>
      </w:pPr>
    </w:p>
    <w:p>
      <w:pPr>
        <w:widowControl/>
        <w:adjustRightInd/>
        <w:spacing w:before="156" w:beforeLines="50" w:after="156" w:afterLines="50" w:line="360" w:lineRule="auto"/>
        <w:ind w:firstLine="4560" w:firstLineChars="1900"/>
        <w:jc w:val="right"/>
        <w:rPr>
          <w:rFonts w:ascii="Times New Roman" w:hAnsi="Times New Roman" w:cs="Times New Roman"/>
          <w:b/>
          <w:sz w:val="24"/>
          <w:szCs w:val="24"/>
        </w:rPr>
      </w:pPr>
      <w:r>
        <w:rPr>
          <w:rFonts w:hint="eastAsia" w:ascii="宋体" w:hAnsi="宋体" w:eastAsia="宋体" w:cs="宋体"/>
          <w:sz w:val="24"/>
          <w:szCs w:val="24"/>
        </w:rPr>
        <w:t xml:space="preserve">青岛伟隆阀门股份有限公司董事会 </w:t>
      </w:r>
      <w:r>
        <w:rPr>
          <w:rFonts w:hint="eastAsia" w:ascii="Times New Roman" w:hAnsi="Times New Roman" w:cs="Times New Roman"/>
          <w:sz w:val="24"/>
        </w:rPr>
        <w:t>202</w:t>
      </w:r>
      <w:r>
        <w:rPr>
          <w:rFonts w:ascii="Times New Roman" w:hAnsi="Times New Roman" w:cs="Times New Roman"/>
          <w:sz w:val="24"/>
        </w:rPr>
        <w:t>3</w:t>
      </w:r>
      <w:r>
        <w:rPr>
          <w:rFonts w:hint="eastAsia" w:ascii="Times New Roman" w:hAnsi="Times New Roman" w:cs="Times New Roman"/>
          <w:sz w:val="24"/>
        </w:rPr>
        <w:t>年1月1</w:t>
      </w:r>
      <w:r>
        <w:rPr>
          <w:rFonts w:ascii="Times New Roman" w:hAnsi="Times New Roman" w:cs="Times New Roman"/>
          <w:sz w:val="24"/>
        </w:rPr>
        <w:t>7</w:t>
      </w:r>
      <w:r>
        <w:rPr>
          <w:rFonts w:hint="eastAsia" w:ascii="Times New Roman" w:hAnsi="Times New Roman" w:cs="Times New Roman"/>
          <w:sz w:val="24"/>
        </w:rPr>
        <w:t>日</w:t>
      </w:r>
    </w:p>
    <w:sectPr>
      <w:headerReference r:id="rId5"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788247"/>
      <w:docPartObj>
        <w:docPartGallery w:val="AutoText"/>
      </w:docPartObj>
    </w:sdtPr>
    <w:sdtEndPr>
      <w:rPr>
        <w:rFonts w:ascii="Times New Roman" w:hAnsi="Times New Roman" w:eastAsia="宋体"/>
      </w:rPr>
    </w:sdtEndPr>
    <w:sdtContent>
      <w:p>
        <w:pPr>
          <w:pStyle w:val="4"/>
          <w:jc w:val="center"/>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PAGE   \* MERGEFORMAT</w:instrText>
        </w:r>
        <w:r>
          <w:rPr>
            <w:rFonts w:ascii="Times New Roman" w:hAnsi="Times New Roman" w:eastAsia="宋体"/>
          </w:rPr>
          <w:fldChar w:fldCharType="separate"/>
        </w:r>
        <w:r>
          <w:rPr>
            <w:rFonts w:ascii="Times New Roman" w:hAnsi="Times New Roman" w:eastAsia="宋体"/>
            <w:lang w:val="zh-CN"/>
          </w:rPr>
          <w:t>2</w:t>
        </w:r>
        <w:r>
          <w:rPr>
            <w:rFonts w:ascii="Times New Roman" w:hAnsi="Times New Roman" w:eastAsia="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4E7096"/>
    <w:multiLevelType w:val="multilevel"/>
    <w:tmpl w:val="6E4E7096"/>
    <w:lvl w:ilvl="0" w:tentative="0">
      <w:start w:val="1"/>
      <w:numFmt w:val="japaneseCounting"/>
      <w:lvlText w:val="%1、"/>
      <w:lvlJc w:val="left"/>
      <w:pPr>
        <w:ind w:left="982" w:hanging="50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556CF7"/>
    <w:rsid w:val="00002D32"/>
    <w:rsid w:val="00007876"/>
    <w:rsid w:val="000102AE"/>
    <w:rsid w:val="00016C3B"/>
    <w:rsid w:val="00017190"/>
    <w:rsid w:val="00017701"/>
    <w:rsid w:val="00023532"/>
    <w:rsid w:val="00024240"/>
    <w:rsid w:val="000247F3"/>
    <w:rsid w:val="00034FBA"/>
    <w:rsid w:val="0004016F"/>
    <w:rsid w:val="0004284A"/>
    <w:rsid w:val="000462D0"/>
    <w:rsid w:val="00047C8B"/>
    <w:rsid w:val="000500E5"/>
    <w:rsid w:val="00050956"/>
    <w:rsid w:val="00053D7C"/>
    <w:rsid w:val="00060DD6"/>
    <w:rsid w:val="00064DC3"/>
    <w:rsid w:val="00070B60"/>
    <w:rsid w:val="00071AC8"/>
    <w:rsid w:val="00072789"/>
    <w:rsid w:val="000775BC"/>
    <w:rsid w:val="00083314"/>
    <w:rsid w:val="00087CAE"/>
    <w:rsid w:val="00090E77"/>
    <w:rsid w:val="00093D50"/>
    <w:rsid w:val="00093D6D"/>
    <w:rsid w:val="000940DF"/>
    <w:rsid w:val="00094A04"/>
    <w:rsid w:val="00095E04"/>
    <w:rsid w:val="00097C66"/>
    <w:rsid w:val="000A0570"/>
    <w:rsid w:val="000A2EE1"/>
    <w:rsid w:val="000A30A7"/>
    <w:rsid w:val="000A692F"/>
    <w:rsid w:val="000B24DB"/>
    <w:rsid w:val="000B4C43"/>
    <w:rsid w:val="000C05C7"/>
    <w:rsid w:val="000C2B04"/>
    <w:rsid w:val="000C47C8"/>
    <w:rsid w:val="000C7EDE"/>
    <w:rsid w:val="000D4C18"/>
    <w:rsid w:val="000D6E4E"/>
    <w:rsid w:val="000E1D47"/>
    <w:rsid w:val="000E20D9"/>
    <w:rsid w:val="000E24A3"/>
    <w:rsid w:val="000F1D3B"/>
    <w:rsid w:val="000F3DAD"/>
    <w:rsid w:val="000F6039"/>
    <w:rsid w:val="000F72D8"/>
    <w:rsid w:val="00105BB0"/>
    <w:rsid w:val="00114EEB"/>
    <w:rsid w:val="00114EF6"/>
    <w:rsid w:val="00126DBF"/>
    <w:rsid w:val="001303A2"/>
    <w:rsid w:val="00132CA4"/>
    <w:rsid w:val="00132E3A"/>
    <w:rsid w:val="001440DA"/>
    <w:rsid w:val="00151886"/>
    <w:rsid w:val="00155950"/>
    <w:rsid w:val="0015672B"/>
    <w:rsid w:val="0016076A"/>
    <w:rsid w:val="001708AA"/>
    <w:rsid w:val="00170F48"/>
    <w:rsid w:val="00173B5E"/>
    <w:rsid w:val="001801A0"/>
    <w:rsid w:val="00184446"/>
    <w:rsid w:val="00185365"/>
    <w:rsid w:val="00191835"/>
    <w:rsid w:val="00197A21"/>
    <w:rsid w:val="001A237A"/>
    <w:rsid w:val="001A7EF9"/>
    <w:rsid w:val="001B2CC8"/>
    <w:rsid w:val="001B41DF"/>
    <w:rsid w:val="001B6DD0"/>
    <w:rsid w:val="001C74AE"/>
    <w:rsid w:val="001D0934"/>
    <w:rsid w:val="001D2CC8"/>
    <w:rsid w:val="001D4745"/>
    <w:rsid w:val="001D632D"/>
    <w:rsid w:val="001D6B9E"/>
    <w:rsid w:val="001E10EC"/>
    <w:rsid w:val="001E3923"/>
    <w:rsid w:val="001E5EBA"/>
    <w:rsid w:val="001E7D94"/>
    <w:rsid w:val="001F03ED"/>
    <w:rsid w:val="001F2C23"/>
    <w:rsid w:val="001F4A94"/>
    <w:rsid w:val="001F4BEE"/>
    <w:rsid w:val="001F5CF5"/>
    <w:rsid w:val="00210721"/>
    <w:rsid w:val="00212E5A"/>
    <w:rsid w:val="00213923"/>
    <w:rsid w:val="00214E6D"/>
    <w:rsid w:val="00221959"/>
    <w:rsid w:val="0022259C"/>
    <w:rsid w:val="00223D95"/>
    <w:rsid w:val="00227060"/>
    <w:rsid w:val="0023660D"/>
    <w:rsid w:val="00243539"/>
    <w:rsid w:val="00250B88"/>
    <w:rsid w:val="00253807"/>
    <w:rsid w:val="0025456E"/>
    <w:rsid w:val="00254EFE"/>
    <w:rsid w:val="00256BFD"/>
    <w:rsid w:val="002576D4"/>
    <w:rsid w:val="002622F4"/>
    <w:rsid w:val="0026561D"/>
    <w:rsid w:val="00267608"/>
    <w:rsid w:val="00271BCD"/>
    <w:rsid w:val="00271EA5"/>
    <w:rsid w:val="00273330"/>
    <w:rsid w:val="00276D97"/>
    <w:rsid w:val="00277B58"/>
    <w:rsid w:val="00290FEF"/>
    <w:rsid w:val="00291138"/>
    <w:rsid w:val="00291319"/>
    <w:rsid w:val="002A5773"/>
    <w:rsid w:val="002B2144"/>
    <w:rsid w:val="002B23CF"/>
    <w:rsid w:val="002B59A8"/>
    <w:rsid w:val="002B668A"/>
    <w:rsid w:val="002C4FCB"/>
    <w:rsid w:val="002C7C29"/>
    <w:rsid w:val="002D76E1"/>
    <w:rsid w:val="002D78FD"/>
    <w:rsid w:val="002E43C4"/>
    <w:rsid w:val="002E448B"/>
    <w:rsid w:val="002F118B"/>
    <w:rsid w:val="002F579E"/>
    <w:rsid w:val="00300095"/>
    <w:rsid w:val="00305282"/>
    <w:rsid w:val="003069C3"/>
    <w:rsid w:val="00321B4F"/>
    <w:rsid w:val="003221A8"/>
    <w:rsid w:val="00330DF8"/>
    <w:rsid w:val="003448CF"/>
    <w:rsid w:val="00345ECE"/>
    <w:rsid w:val="00350F65"/>
    <w:rsid w:val="00353CFD"/>
    <w:rsid w:val="00362A4F"/>
    <w:rsid w:val="00365AA8"/>
    <w:rsid w:val="00365C4A"/>
    <w:rsid w:val="00366590"/>
    <w:rsid w:val="00366D9C"/>
    <w:rsid w:val="00367104"/>
    <w:rsid w:val="00373CD5"/>
    <w:rsid w:val="00376399"/>
    <w:rsid w:val="0038025D"/>
    <w:rsid w:val="0038513C"/>
    <w:rsid w:val="003906FB"/>
    <w:rsid w:val="00390B97"/>
    <w:rsid w:val="00390DB8"/>
    <w:rsid w:val="00392166"/>
    <w:rsid w:val="00392C3F"/>
    <w:rsid w:val="003944DC"/>
    <w:rsid w:val="00396058"/>
    <w:rsid w:val="003A2288"/>
    <w:rsid w:val="003A361B"/>
    <w:rsid w:val="003A3C4E"/>
    <w:rsid w:val="003A55FB"/>
    <w:rsid w:val="003A57DF"/>
    <w:rsid w:val="003B0E63"/>
    <w:rsid w:val="003B0E92"/>
    <w:rsid w:val="003B5DCC"/>
    <w:rsid w:val="003B6C5F"/>
    <w:rsid w:val="003C70F3"/>
    <w:rsid w:val="003C7A12"/>
    <w:rsid w:val="003D6773"/>
    <w:rsid w:val="003F5DF3"/>
    <w:rsid w:val="00402E8F"/>
    <w:rsid w:val="0040624F"/>
    <w:rsid w:val="00415691"/>
    <w:rsid w:val="00421872"/>
    <w:rsid w:val="00426E11"/>
    <w:rsid w:val="004336CF"/>
    <w:rsid w:val="004356CD"/>
    <w:rsid w:val="00436F8A"/>
    <w:rsid w:val="00437D87"/>
    <w:rsid w:val="00440BD4"/>
    <w:rsid w:val="004410FC"/>
    <w:rsid w:val="00441CA9"/>
    <w:rsid w:val="004443FD"/>
    <w:rsid w:val="0044643C"/>
    <w:rsid w:val="00446F96"/>
    <w:rsid w:val="00453514"/>
    <w:rsid w:val="00460570"/>
    <w:rsid w:val="00461C19"/>
    <w:rsid w:val="00471245"/>
    <w:rsid w:val="00473103"/>
    <w:rsid w:val="00481CB4"/>
    <w:rsid w:val="00483B08"/>
    <w:rsid w:val="00483F93"/>
    <w:rsid w:val="00485332"/>
    <w:rsid w:val="004910B4"/>
    <w:rsid w:val="00493561"/>
    <w:rsid w:val="004965FD"/>
    <w:rsid w:val="00496E10"/>
    <w:rsid w:val="004A089C"/>
    <w:rsid w:val="004A0A54"/>
    <w:rsid w:val="004A1791"/>
    <w:rsid w:val="004A5431"/>
    <w:rsid w:val="004A7208"/>
    <w:rsid w:val="004B7279"/>
    <w:rsid w:val="004C4DEC"/>
    <w:rsid w:val="004C5DCE"/>
    <w:rsid w:val="004C6CD5"/>
    <w:rsid w:val="004D781F"/>
    <w:rsid w:val="004E24AF"/>
    <w:rsid w:val="004E3598"/>
    <w:rsid w:val="004E4ED1"/>
    <w:rsid w:val="004F2BA3"/>
    <w:rsid w:val="00501919"/>
    <w:rsid w:val="00503D82"/>
    <w:rsid w:val="00507221"/>
    <w:rsid w:val="00510A2E"/>
    <w:rsid w:val="0051203A"/>
    <w:rsid w:val="00512943"/>
    <w:rsid w:val="00513C69"/>
    <w:rsid w:val="00514FDB"/>
    <w:rsid w:val="005159F2"/>
    <w:rsid w:val="0052183D"/>
    <w:rsid w:val="00522294"/>
    <w:rsid w:val="00522374"/>
    <w:rsid w:val="00524A51"/>
    <w:rsid w:val="00532FFB"/>
    <w:rsid w:val="00533966"/>
    <w:rsid w:val="00534439"/>
    <w:rsid w:val="00545968"/>
    <w:rsid w:val="005507A6"/>
    <w:rsid w:val="00553957"/>
    <w:rsid w:val="00556CF7"/>
    <w:rsid w:val="00560C71"/>
    <w:rsid w:val="0056280B"/>
    <w:rsid w:val="005637F6"/>
    <w:rsid w:val="005663A6"/>
    <w:rsid w:val="00567383"/>
    <w:rsid w:val="0056790E"/>
    <w:rsid w:val="00567C7E"/>
    <w:rsid w:val="005735C1"/>
    <w:rsid w:val="00576117"/>
    <w:rsid w:val="00583EB0"/>
    <w:rsid w:val="00585F3E"/>
    <w:rsid w:val="00594BAE"/>
    <w:rsid w:val="005973F5"/>
    <w:rsid w:val="005A08D0"/>
    <w:rsid w:val="005A1000"/>
    <w:rsid w:val="005A6038"/>
    <w:rsid w:val="005B3848"/>
    <w:rsid w:val="005C296D"/>
    <w:rsid w:val="005C6B1D"/>
    <w:rsid w:val="005C77D9"/>
    <w:rsid w:val="005D0879"/>
    <w:rsid w:val="005D2AD2"/>
    <w:rsid w:val="005D3B78"/>
    <w:rsid w:val="005D6847"/>
    <w:rsid w:val="005D6A53"/>
    <w:rsid w:val="005E183B"/>
    <w:rsid w:val="005E2D9A"/>
    <w:rsid w:val="005E3A96"/>
    <w:rsid w:val="005E3F81"/>
    <w:rsid w:val="005E4380"/>
    <w:rsid w:val="005F2172"/>
    <w:rsid w:val="005F546C"/>
    <w:rsid w:val="005F7A70"/>
    <w:rsid w:val="00603427"/>
    <w:rsid w:val="006054F3"/>
    <w:rsid w:val="00613764"/>
    <w:rsid w:val="00622D8D"/>
    <w:rsid w:val="00622E9F"/>
    <w:rsid w:val="00622EBE"/>
    <w:rsid w:val="006241E8"/>
    <w:rsid w:val="006245DA"/>
    <w:rsid w:val="00626419"/>
    <w:rsid w:val="006336EB"/>
    <w:rsid w:val="00634811"/>
    <w:rsid w:val="006443A3"/>
    <w:rsid w:val="0064538E"/>
    <w:rsid w:val="006458DC"/>
    <w:rsid w:val="00645C78"/>
    <w:rsid w:val="00647887"/>
    <w:rsid w:val="006504DB"/>
    <w:rsid w:val="006555B9"/>
    <w:rsid w:val="006562D9"/>
    <w:rsid w:val="00674575"/>
    <w:rsid w:val="00674A54"/>
    <w:rsid w:val="0068039B"/>
    <w:rsid w:val="006872A2"/>
    <w:rsid w:val="00690191"/>
    <w:rsid w:val="00691029"/>
    <w:rsid w:val="0069365D"/>
    <w:rsid w:val="006B0F84"/>
    <w:rsid w:val="006B6492"/>
    <w:rsid w:val="006C04D0"/>
    <w:rsid w:val="006C6A95"/>
    <w:rsid w:val="006D54FD"/>
    <w:rsid w:val="006D5705"/>
    <w:rsid w:val="006E0454"/>
    <w:rsid w:val="006E07C4"/>
    <w:rsid w:val="006E1F0B"/>
    <w:rsid w:val="006E4E71"/>
    <w:rsid w:val="00704E5C"/>
    <w:rsid w:val="007053C4"/>
    <w:rsid w:val="00710369"/>
    <w:rsid w:val="00711038"/>
    <w:rsid w:val="0071137B"/>
    <w:rsid w:val="00712D49"/>
    <w:rsid w:val="00712DCB"/>
    <w:rsid w:val="007142FB"/>
    <w:rsid w:val="00716CF4"/>
    <w:rsid w:val="007174DD"/>
    <w:rsid w:val="00720B45"/>
    <w:rsid w:val="00720FA5"/>
    <w:rsid w:val="00731329"/>
    <w:rsid w:val="00742797"/>
    <w:rsid w:val="00747001"/>
    <w:rsid w:val="00747992"/>
    <w:rsid w:val="00756687"/>
    <w:rsid w:val="00761E09"/>
    <w:rsid w:val="00762FE7"/>
    <w:rsid w:val="007635AA"/>
    <w:rsid w:val="00765C38"/>
    <w:rsid w:val="00770C6C"/>
    <w:rsid w:val="00770D84"/>
    <w:rsid w:val="00772A05"/>
    <w:rsid w:val="00775F38"/>
    <w:rsid w:val="007810AC"/>
    <w:rsid w:val="007810FF"/>
    <w:rsid w:val="007826B4"/>
    <w:rsid w:val="007842FA"/>
    <w:rsid w:val="00787F5F"/>
    <w:rsid w:val="00793C58"/>
    <w:rsid w:val="007B21A8"/>
    <w:rsid w:val="007B290E"/>
    <w:rsid w:val="007C0CA0"/>
    <w:rsid w:val="007C1B94"/>
    <w:rsid w:val="007C2184"/>
    <w:rsid w:val="007C2BE6"/>
    <w:rsid w:val="007C3DE2"/>
    <w:rsid w:val="007D2E3F"/>
    <w:rsid w:val="007E0CDA"/>
    <w:rsid w:val="007E1589"/>
    <w:rsid w:val="007E1FC2"/>
    <w:rsid w:val="007E60D2"/>
    <w:rsid w:val="007F180D"/>
    <w:rsid w:val="007F4EA4"/>
    <w:rsid w:val="0081122E"/>
    <w:rsid w:val="00814A4C"/>
    <w:rsid w:val="00817C1A"/>
    <w:rsid w:val="00821ABE"/>
    <w:rsid w:val="008222C4"/>
    <w:rsid w:val="00823EC8"/>
    <w:rsid w:val="0083029B"/>
    <w:rsid w:val="008353F5"/>
    <w:rsid w:val="008366B5"/>
    <w:rsid w:val="008374C9"/>
    <w:rsid w:val="0084589E"/>
    <w:rsid w:val="00866FB2"/>
    <w:rsid w:val="008828E1"/>
    <w:rsid w:val="00883ACC"/>
    <w:rsid w:val="00884C72"/>
    <w:rsid w:val="008875D0"/>
    <w:rsid w:val="00890F54"/>
    <w:rsid w:val="00893139"/>
    <w:rsid w:val="008933F5"/>
    <w:rsid w:val="0089666B"/>
    <w:rsid w:val="008969A8"/>
    <w:rsid w:val="008A3B97"/>
    <w:rsid w:val="008A5D98"/>
    <w:rsid w:val="008A72D6"/>
    <w:rsid w:val="008A74A5"/>
    <w:rsid w:val="008B15BE"/>
    <w:rsid w:val="008B4E9C"/>
    <w:rsid w:val="008B6FD3"/>
    <w:rsid w:val="008B7B55"/>
    <w:rsid w:val="008B7DD5"/>
    <w:rsid w:val="008B7E6F"/>
    <w:rsid w:val="008C10E8"/>
    <w:rsid w:val="008D7A8D"/>
    <w:rsid w:val="008E2B31"/>
    <w:rsid w:val="008F1199"/>
    <w:rsid w:val="008F355F"/>
    <w:rsid w:val="008F45A1"/>
    <w:rsid w:val="008F658E"/>
    <w:rsid w:val="009016E3"/>
    <w:rsid w:val="00907300"/>
    <w:rsid w:val="00907ED6"/>
    <w:rsid w:val="00911886"/>
    <w:rsid w:val="00916D7A"/>
    <w:rsid w:val="00922B12"/>
    <w:rsid w:val="00933BB6"/>
    <w:rsid w:val="00934D5D"/>
    <w:rsid w:val="0093512C"/>
    <w:rsid w:val="00935A9A"/>
    <w:rsid w:val="00952E90"/>
    <w:rsid w:val="0095467C"/>
    <w:rsid w:val="00954CD1"/>
    <w:rsid w:val="00957E9F"/>
    <w:rsid w:val="00961B52"/>
    <w:rsid w:val="00977666"/>
    <w:rsid w:val="00981426"/>
    <w:rsid w:val="00981CC0"/>
    <w:rsid w:val="0098701E"/>
    <w:rsid w:val="009870D1"/>
    <w:rsid w:val="00987866"/>
    <w:rsid w:val="009916A1"/>
    <w:rsid w:val="00993AAB"/>
    <w:rsid w:val="0099428C"/>
    <w:rsid w:val="00995816"/>
    <w:rsid w:val="009A01F3"/>
    <w:rsid w:val="009A3EFD"/>
    <w:rsid w:val="009A647A"/>
    <w:rsid w:val="009B663D"/>
    <w:rsid w:val="009C28A0"/>
    <w:rsid w:val="009C6351"/>
    <w:rsid w:val="009C6ED6"/>
    <w:rsid w:val="009D12EF"/>
    <w:rsid w:val="009D1A39"/>
    <w:rsid w:val="009D39CE"/>
    <w:rsid w:val="009D4CB9"/>
    <w:rsid w:val="009E4EB2"/>
    <w:rsid w:val="009E709E"/>
    <w:rsid w:val="009F4A44"/>
    <w:rsid w:val="00A01314"/>
    <w:rsid w:val="00A0133D"/>
    <w:rsid w:val="00A021DC"/>
    <w:rsid w:val="00A109A1"/>
    <w:rsid w:val="00A11D4E"/>
    <w:rsid w:val="00A13D92"/>
    <w:rsid w:val="00A305AE"/>
    <w:rsid w:val="00A308E8"/>
    <w:rsid w:val="00A318E3"/>
    <w:rsid w:val="00A31BDE"/>
    <w:rsid w:val="00A32F1C"/>
    <w:rsid w:val="00A33AEA"/>
    <w:rsid w:val="00A35D62"/>
    <w:rsid w:val="00A35DDE"/>
    <w:rsid w:val="00A36C07"/>
    <w:rsid w:val="00A36C28"/>
    <w:rsid w:val="00A51EB8"/>
    <w:rsid w:val="00A51F63"/>
    <w:rsid w:val="00A566D9"/>
    <w:rsid w:val="00A648E6"/>
    <w:rsid w:val="00A7472B"/>
    <w:rsid w:val="00A76FDA"/>
    <w:rsid w:val="00A81C7E"/>
    <w:rsid w:val="00A81F01"/>
    <w:rsid w:val="00A8274A"/>
    <w:rsid w:val="00A86764"/>
    <w:rsid w:val="00A867B6"/>
    <w:rsid w:val="00A87BAD"/>
    <w:rsid w:val="00A95BC9"/>
    <w:rsid w:val="00AA0228"/>
    <w:rsid w:val="00AA14A8"/>
    <w:rsid w:val="00AA3538"/>
    <w:rsid w:val="00AA40B9"/>
    <w:rsid w:val="00AA55DC"/>
    <w:rsid w:val="00AB0178"/>
    <w:rsid w:val="00AB0368"/>
    <w:rsid w:val="00AB1930"/>
    <w:rsid w:val="00AC7610"/>
    <w:rsid w:val="00AD2707"/>
    <w:rsid w:val="00AD74A8"/>
    <w:rsid w:val="00AE0631"/>
    <w:rsid w:val="00AE1B99"/>
    <w:rsid w:val="00AE408D"/>
    <w:rsid w:val="00AE655B"/>
    <w:rsid w:val="00AE6B90"/>
    <w:rsid w:val="00AF32D4"/>
    <w:rsid w:val="00AF341F"/>
    <w:rsid w:val="00AF4801"/>
    <w:rsid w:val="00AF545E"/>
    <w:rsid w:val="00B012D6"/>
    <w:rsid w:val="00B02255"/>
    <w:rsid w:val="00B04A87"/>
    <w:rsid w:val="00B05D93"/>
    <w:rsid w:val="00B06EB5"/>
    <w:rsid w:val="00B13508"/>
    <w:rsid w:val="00B15629"/>
    <w:rsid w:val="00B22475"/>
    <w:rsid w:val="00B2385A"/>
    <w:rsid w:val="00B23CA3"/>
    <w:rsid w:val="00B2611E"/>
    <w:rsid w:val="00B42D8C"/>
    <w:rsid w:val="00B452AB"/>
    <w:rsid w:val="00B47E66"/>
    <w:rsid w:val="00B52668"/>
    <w:rsid w:val="00B527D8"/>
    <w:rsid w:val="00B54363"/>
    <w:rsid w:val="00B73CEE"/>
    <w:rsid w:val="00B80103"/>
    <w:rsid w:val="00B83AD0"/>
    <w:rsid w:val="00B844E0"/>
    <w:rsid w:val="00B84A7F"/>
    <w:rsid w:val="00B90683"/>
    <w:rsid w:val="00B94060"/>
    <w:rsid w:val="00B952A3"/>
    <w:rsid w:val="00B95C8C"/>
    <w:rsid w:val="00B96977"/>
    <w:rsid w:val="00BA628F"/>
    <w:rsid w:val="00BB36CA"/>
    <w:rsid w:val="00BB3C9A"/>
    <w:rsid w:val="00BB4B4A"/>
    <w:rsid w:val="00BB4B74"/>
    <w:rsid w:val="00BB4FF2"/>
    <w:rsid w:val="00BC3117"/>
    <w:rsid w:val="00BC43FD"/>
    <w:rsid w:val="00BC4AF0"/>
    <w:rsid w:val="00BC5984"/>
    <w:rsid w:val="00BC5E20"/>
    <w:rsid w:val="00BC6895"/>
    <w:rsid w:val="00BD08ED"/>
    <w:rsid w:val="00BD65D6"/>
    <w:rsid w:val="00BE14E4"/>
    <w:rsid w:val="00BF386B"/>
    <w:rsid w:val="00BF474C"/>
    <w:rsid w:val="00BF72E8"/>
    <w:rsid w:val="00BF7377"/>
    <w:rsid w:val="00BF7AF5"/>
    <w:rsid w:val="00C0130D"/>
    <w:rsid w:val="00C01F3B"/>
    <w:rsid w:val="00C048E5"/>
    <w:rsid w:val="00C05526"/>
    <w:rsid w:val="00C12F08"/>
    <w:rsid w:val="00C143FA"/>
    <w:rsid w:val="00C229C8"/>
    <w:rsid w:val="00C24AA6"/>
    <w:rsid w:val="00C30326"/>
    <w:rsid w:val="00C30665"/>
    <w:rsid w:val="00C33A8C"/>
    <w:rsid w:val="00C370A9"/>
    <w:rsid w:val="00C41E99"/>
    <w:rsid w:val="00C433FB"/>
    <w:rsid w:val="00C460DC"/>
    <w:rsid w:val="00C52553"/>
    <w:rsid w:val="00C52C2F"/>
    <w:rsid w:val="00C53809"/>
    <w:rsid w:val="00C53917"/>
    <w:rsid w:val="00C53B6E"/>
    <w:rsid w:val="00C54841"/>
    <w:rsid w:val="00C56AA6"/>
    <w:rsid w:val="00C61A41"/>
    <w:rsid w:val="00C649C9"/>
    <w:rsid w:val="00C67B19"/>
    <w:rsid w:val="00C67E6D"/>
    <w:rsid w:val="00C7211E"/>
    <w:rsid w:val="00C728A5"/>
    <w:rsid w:val="00C72C39"/>
    <w:rsid w:val="00C77C95"/>
    <w:rsid w:val="00C9127D"/>
    <w:rsid w:val="00C975FA"/>
    <w:rsid w:val="00CA0357"/>
    <w:rsid w:val="00CA16D1"/>
    <w:rsid w:val="00CA1E84"/>
    <w:rsid w:val="00CA4D28"/>
    <w:rsid w:val="00CA5C1D"/>
    <w:rsid w:val="00CB07FA"/>
    <w:rsid w:val="00CB6195"/>
    <w:rsid w:val="00CC4ADE"/>
    <w:rsid w:val="00CD08E1"/>
    <w:rsid w:val="00CD0BA7"/>
    <w:rsid w:val="00CD3D4C"/>
    <w:rsid w:val="00CD4167"/>
    <w:rsid w:val="00CD650B"/>
    <w:rsid w:val="00CE08E4"/>
    <w:rsid w:val="00CE0FB9"/>
    <w:rsid w:val="00CE4DE6"/>
    <w:rsid w:val="00CF0084"/>
    <w:rsid w:val="00CF1201"/>
    <w:rsid w:val="00CF34FB"/>
    <w:rsid w:val="00CF3622"/>
    <w:rsid w:val="00CF58D9"/>
    <w:rsid w:val="00CF6ABF"/>
    <w:rsid w:val="00CF7F0B"/>
    <w:rsid w:val="00D01AB6"/>
    <w:rsid w:val="00D057B6"/>
    <w:rsid w:val="00D11D1B"/>
    <w:rsid w:val="00D17DE3"/>
    <w:rsid w:val="00D17EA5"/>
    <w:rsid w:val="00D23139"/>
    <w:rsid w:val="00D352DC"/>
    <w:rsid w:val="00D401EF"/>
    <w:rsid w:val="00D41A6F"/>
    <w:rsid w:val="00D5306B"/>
    <w:rsid w:val="00D534AF"/>
    <w:rsid w:val="00D53AD4"/>
    <w:rsid w:val="00D71274"/>
    <w:rsid w:val="00D71653"/>
    <w:rsid w:val="00D72D6F"/>
    <w:rsid w:val="00D74088"/>
    <w:rsid w:val="00D76A5D"/>
    <w:rsid w:val="00D76C3B"/>
    <w:rsid w:val="00D90279"/>
    <w:rsid w:val="00D903BB"/>
    <w:rsid w:val="00D97F66"/>
    <w:rsid w:val="00DA639D"/>
    <w:rsid w:val="00DA6E74"/>
    <w:rsid w:val="00DA7A01"/>
    <w:rsid w:val="00DD3EED"/>
    <w:rsid w:val="00DE113D"/>
    <w:rsid w:val="00DE22F0"/>
    <w:rsid w:val="00DE317F"/>
    <w:rsid w:val="00DF0617"/>
    <w:rsid w:val="00DF3201"/>
    <w:rsid w:val="00DF43B3"/>
    <w:rsid w:val="00DF4AA8"/>
    <w:rsid w:val="00DF5397"/>
    <w:rsid w:val="00DF7411"/>
    <w:rsid w:val="00E0017D"/>
    <w:rsid w:val="00E108C2"/>
    <w:rsid w:val="00E12326"/>
    <w:rsid w:val="00E141EC"/>
    <w:rsid w:val="00E15A55"/>
    <w:rsid w:val="00E16A94"/>
    <w:rsid w:val="00E22A45"/>
    <w:rsid w:val="00E22B18"/>
    <w:rsid w:val="00E2346A"/>
    <w:rsid w:val="00E30255"/>
    <w:rsid w:val="00E334FE"/>
    <w:rsid w:val="00E428AB"/>
    <w:rsid w:val="00E45A82"/>
    <w:rsid w:val="00E509CD"/>
    <w:rsid w:val="00E54136"/>
    <w:rsid w:val="00E5716C"/>
    <w:rsid w:val="00E63873"/>
    <w:rsid w:val="00E657C7"/>
    <w:rsid w:val="00E667D0"/>
    <w:rsid w:val="00E70F18"/>
    <w:rsid w:val="00E72A56"/>
    <w:rsid w:val="00E74D01"/>
    <w:rsid w:val="00E801C3"/>
    <w:rsid w:val="00E801F5"/>
    <w:rsid w:val="00E81ABD"/>
    <w:rsid w:val="00E821A5"/>
    <w:rsid w:val="00E8229A"/>
    <w:rsid w:val="00E860B7"/>
    <w:rsid w:val="00E91618"/>
    <w:rsid w:val="00EA1767"/>
    <w:rsid w:val="00EA24FF"/>
    <w:rsid w:val="00EA34C6"/>
    <w:rsid w:val="00EA66EE"/>
    <w:rsid w:val="00EA799D"/>
    <w:rsid w:val="00EB1F92"/>
    <w:rsid w:val="00EB2C80"/>
    <w:rsid w:val="00EB3CDC"/>
    <w:rsid w:val="00EB55E1"/>
    <w:rsid w:val="00EC04D5"/>
    <w:rsid w:val="00EC4592"/>
    <w:rsid w:val="00EC48BC"/>
    <w:rsid w:val="00ED0563"/>
    <w:rsid w:val="00ED103B"/>
    <w:rsid w:val="00ED1801"/>
    <w:rsid w:val="00ED482E"/>
    <w:rsid w:val="00ED4A4E"/>
    <w:rsid w:val="00EE192F"/>
    <w:rsid w:val="00EE23FA"/>
    <w:rsid w:val="00EE5ACB"/>
    <w:rsid w:val="00EE725B"/>
    <w:rsid w:val="00EF41E3"/>
    <w:rsid w:val="00F02E11"/>
    <w:rsid w:val="00F0539A"/>
    <w:rsid w:val="00F1068E"/>
    <w:rsid w:val="00F15B19"/>
    <w:rsid w:val="00F17391"/>
    <w:rsid w:val="00F31035"/>
    <w:rsid w:val="00F4281C"/>
    <w:rsid w:val="00F54382"/>
    <w:rsid w:val="00F54DA7"/>
    <w:rsid w:val="00F57138"/>
    <w:rsid w:val="00F60EFE"/>
    <w:rsid w:val="00F61FC1"/>
    <w:rsid w:val="00F738CD"/>
    <w:rsid w:val="00F90C40"/>
    <w:rsid w:val="00F92E4A"/>
    <w:rsid w:val="00FA0F43"/>
    <w:rsid w:val="00FA6390"/>
    <w:rsid w:val="00FB0A4C"/>
    <w:rsid w:val="00FB14F3"/>
    <w:rsid w:val="00FB30CC"/>
    <w:rsid w:val="00FC1DBB"/>
    <w:rsid w:val="00FC3025"/>
    <w:rsid w:val="00FC6638"/>
    <w:rsid w:val="00FD4114"/>
    <w:rsid w:val="00FD49CE"/>
    <w:rsid w:val="00FD62CB"/>
    <w:rsid w:val="00FE214F"/>
    <w:rsid w:val="00FF4B24"/>
    <w:rsid w:val="01901500"/>
    <w:rsid w:val="09E40F81"/>
    <w:rsid w:val="0B102611"/>
    <w:rsid w:val="0C2B766A"/>
    <w:rsid w:val="0D661B66"/>
    <w:rsid w:val="0F69360F"/>
    <w:rsid w:val="0F9F560C"/>
    <w:rsid w:val="106440D1"/>
    <w:rsid w:val="130C18F6"/>
    <w:rsid w:val="190F40D8"/>
    <w:rsid w:val="1920455E"/>
    <w:rsid w:val="1B3F4E91"/>
    <w:rsid w:val="20505263"/>
    <w:rsid w:val="21F24BA6"/>
    <w:rsid w:val="22625C84"/>
    <w:rsid w:val="23A3084D"/>
    <w:rsid w:val="24B216F2"/>
    <w:rsid w:val="26F261BF"/>
    <w:rsid w:val="27C16F33"/>
    <w:rsid w:val="2B9832EE"/>
    <w:rsid w:val="2BA27E65"/>
    <w:rsid w:val="2E154A70"/>
    <w:rsid w:val="2FCD0ECA"/>
    <w:rsid w:val="31957BB0"/>
    <w:rsid w:val="33926892"/>
    <w:rsid w:val="373A279D"/>
    <w:rsid w:val="40175DD9"/>
    <w:rsid w:val="411F1487"/>
    <w:rsid w:val="44E667AE"/>
    <w:rsid w:val="45145CDE"/>
    <w:rsid w:val="465B3076"/>
    <w:rsid w:val="476C6FFB"/>
    <w:rsid w:val="4C971FD7"/>
    <w:rsid w:val="4E2141D5"/>
    <w:rsid w:val="527A7487"/>
    <w:rsid w:val="5D557E99"/>
    <w:rsid w:val="664A43C5"/>
    <w:rsid w:val="68A02D40"/>
    <w:rsid w:val="68CA0846"/>
    <w:rsid w:val="69433107"/>
    <w:rsid w:val="6A0635D5"/>
    <w:rsid w:val="6A98703C"/>
    <w:rsid w:val="6B8634AC"/>
    <w:rsid w:val="6C8F6542"/>
    <w:rsid w:val="7195078F"/>
    <w:rsid w:val="74607FDA"/>
    <w:rsid w:val="780E2AD8"/>
    <w:rsid w:val="7C9B191A"/>
    <w:rsid w:val="7D251C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heme="minorHAnsi" w:hAnsiTheme="minorHAnsi" w:eastAsiaTheme="minorEastAsia" w:cstheme="minorBidi"/>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2"/>
    <w:qFormat/>
    <w:uiPriority w:val="0"/>
    <w:pPr>
      <w:spacing w:line="240" w:lineRule="auto"/>
    </w:pPr>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paragraph" w:customStyle="1" w:styleId="11">
    <w:name w:val="CM1"/>
    <w:basedOn w:val="1"/>
    <w:next w:val="1"/>
    <w:qFormat/>
    <w:uiPriority w:val="0"/>
    <w:pPr>
      <w:autoSpaceDE w:val="0"/>
      <w:autoSpaceDN w:val="0"/>
      <w:spacing w:line="580" w:lineRule="atLeast"/>
      <w:jc w:val="left"/>
    </w:pPr>
    <w:rPr>
      <w:rFonts w:ascii="黑体" w:eastAsia="黑体"/>
      <w:sz w:val="24"/>
      <w:szCs w:val="24"/>
    </w:rPr>
  </w:style>
  <w:style w:type="character" w:customStyle="1" w:styleId="12">
    <w:name w:val="批注框文本 字符"/>
    <w:basedOn w:val="8"/>
    <w:link w:val="3"/>
    <w:qFormat/>
    <w:uiPriority w:val="0"/>
    <w:rPr>
      <w:rFonts w:asciiTheme="minorHAnsi" w:hAnsiTheme="minorHAnsi" w:eastAsiaTheme="minorEastAsia" w:cstheme="minorBidi"/>
      <w:sz w:val="18"/>
      <w:szCs w:val="18"/>
    </w:rPr>
  </w:style>
  <w:style w:type="character" w:customStyle="1" w:styleId="13">
    <w:name w:val="日期 字符"/>
    <w:basedOn w:val="8"/>
    <w:link w:val="2"/>
    <w:qFormat/>
    <w:uiPriority w:val="0"/>
    <w:rPr>
      <w:rFonts w:asciiTheme="minorHAnsi" w:hAnsiTheme="minorHAnsi" w:eastAsiaTheme="minorEastAsia" w:cstheme="minorBidi"/>
      <w:sz w:val="21"/>
      <w:szCs w:val="22"/>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fontstyle01"/>
    <w:qFormat/>
    <w:uiPriority w:val="0"/>
    <w:rPr>
      <w:rFonts w:hint="eastAsia" w:ascii="宋体" w:hAnsi="宋体" w:eastAsia="宋体"/>
      <w:color w:val="000000"/>
      <w:sz w:val="24"/>
      <w:szCs w:val="24"/>
    </w:rPr>
  </w:style>
  <w:style w:type="character" w:customStyle="1" w:styleId="16">
    <w:name w:val="fontstyle11"/>
    <w:qFormat/>
    <w:uiPriority w:val="0"/>
    <w:rPr>
      <w:rFonts w:hint="default" w:ascii="Calibri" w:hAnsi="Calibri" w:cs="Calibri"/>
      <w:color w:val="000000"/>
      <w:sz w:val="24"/>
      <w:szCs w:val="24"/>
    </w:rPr>
  </w:style>
  <w:style w:type="character" w:customStyle="1" w:styleId="17">
    <w:name w:val="fontstyle21"/>
    <w:qFormat/>
    <w:uiPriority w:val="0"/>
    <w:rPr>
      <w:rFonts w:hint="default" w:ascii="Times New Roman" w:hAnsi="Times New Roman" w:cs="Times New Roman"/>
      <w:b/>
      <w:bCs/>
      <w:color w:val="000000"/>
      <w:sz w:val="24"/>
      <w:szCs w:val="24"/>
    </w:rPr>
  </w:style>
  <w:style w:type="paragraph" w:customStyle="1" w:styleId="18">
    <w:name w:val="Revision"/>
    <w:hidden/>
    <w:semiHidden/>
    <w:qFormat/>
    <w:uiPriority w:val="99"/>
    <w:rPr>
      <w:rFonts w:asciiTheme="minorHAnsi" w:hAnsiTheme="minorHAnsi" w:eastAsiaTheme="minorEastAsia" w:cstheme="minorBidi"/>
      <w:sz w:val="21"/>
      <w:szCs w:val="22"/>
      <w:lang w:val="en-US" w:eastAsia="zh-CN" w:bidi="ar-SA"/>
    </w:rPr>
  </w:style>
  <w:style w:type="character" w:customStyle="1" w:styleId="19">
    <w:name w:val="页眉 字符"/>
    <w:basedOn w:val="8"/>
    <w:link w:val="5"/>
    <w:qFormat/>
    <w:uiPriority w:val="0"/>
    <w:rPr>
      <w:rFonts w:asciiTheme="minorHAnsi" w:hAnsiTheme="minorHAnsi" w:eastAsiaTheme="minorEastAsia" w:cstheme="minorBidi"/>
      <w:sz w:val="18"/>
      <w:szCs w:val="18"/>
    </w:rPr>
  </w:style>
  <w:style w:type="character" w:customStyle="1" w:styleId="20">
    <w:name w:val="页脚 字符"/>
    <w:basedOn w:val="8"/>
    <w:link w:val="4"/>
    <w:qFormat/>
    <w:uiPriority w:val="99"/>
    <w:rPr>
      <w:rFonts w:asciiTheme="minorHAnsi" w:hAnsiTheme="minorHAnsi" w:eastAsiaTheme="minorEastAsia" w:cstheme="minorBidi"/>
      <w:sz w:val="18"/>
      <w:szCs w:val="18"/>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1326</Words>
  <Characters>1382</Characters>
  <Lines>10</Lines>
  <Paragraphs>2</Paragraphs>
  <TotalTime>0</TotalTime>
  <ScaleCrop>false</ScaleCrop>
  <LinksUpToDate>false</LinksUpToDate>
  <CharactersWithSpaces>1399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Mr.翔</cp:lastModifiedBy>
  <cp:lastPrinted>2017-10-19T07:18:00Z</cp:lastPrinted>
  <dcterms:modified xsi:type="dcterms:W3CDTF">2023-01-16T11:33:23Z</dcterms:modified>
  <cp:revision>454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033A1D527C4647FA9BA94296F860E59F</vt:lpwstr>
  </property>
</Properties>
</file>