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3542" w:firstLineChars="1100"/>
        <w:rPr>
          <w:rFonts w:hint="eastAsia" w:eastAsia="黑体"/>
          <w:color w:val="auto"/>
          <w:sz w:val="32"/>
        </w:rPr>
      </w:pPr>
      <w:bookmarkStart w:id="0" w:name="_Toc989034"/>
    </w:p>
    <w:p>
      <w:pPr>
        <w:spacing w:line="360" w:lineRule="exact"/>
        <w:rPr>
          <w:rFonts w:hint="eastAsia" w:eastAsia="黑体"/>
          <w:color w:val="auto"/>
          <w:sz w:val="32"/>
        </w:rPr>
      </w:pPr>
    </w:p>
    <w:p>
      <w:pPr>
        <w:spacing w:line="480" w:lineRule="auto"/>
        <w:ind w:firstLine="3542" w:firstLineChars="1100"/>
        <w:rPr>
          <w:rFonts w:hint="eastAsia" w:eastAsia="黑体"/>
          <w:color w:val="auto"/>
          <w:sz w:val="32"/>
        </w:rPr>
      </w:pPr>
    </w:p>
    <w:p>
      <w:pPr>
        <w:tabs>
          <w:tab w:val="left" w:pos="7920"/>
          <w:tab w:val="left" w:pos="8100"/>
        </w:tabs>
        <w:spacing w:line="600" w:lineRule="auto"/>
        <w:jc w:val="center"/>
        <w:rPr>
          <w:rFonts w:hint="eastAsia" w:eastAsia="黑体"/>
          <w:b/>
          <w:color w:val="auto"/>
          <w:sz w:val="30"/>
          <w:szCs w:val="30"/>
        </w:rPr>
      </w:pPr>
      <w:r>
        <w:rPr>
          <w:rFonts w:hint="eastAsia" w:eastAsia="黑体"/>
          <w:b/>
          <w:color w:val="auto"/>
          <w:sz w:val="30"/>
          <w:szCs w:val="30"/>
        </w:rPr>
        <w:t xml:space="preserve"> 青岛伟隆阀门</w:t>
      </w:r>
      <w:r>
        <w:rPr>
          <w:rFonts w:eastAsia="黑体"/>
          <w:b/>
          <w:color w:val="auto"/>
          <w:sz w:val="30"/>
          <w:szCs w:val="30"/>
        </w:rPr>
        <w:t>股份</w:t>
      </w:r>
      <w:r>
        <w:rPr>
          <w:rFonts w:hint="eastAsia" w:eastAsia="黑体"/>
          <w:b/>
          <w:color w:val="auto"/>
          <w:sz w:val="30"/>
          <w:szCs w:val="30"/>
        </w:rPr>
        <w:t>有限公司</w:t>
      </w:r>
    </w:p>
    <w:p>
      <w:pPr>
        <w:spacing w:line="600" w:lineRule="auto"/>
        <w:jc w:val="center"/>
        <w:rPr>
          <w:rFonts w:hint="eastAsia" w:ascii="黑体" w:hAnsi="_x000B__x000C_" w:eastAsia="黑体"/>
          <w:b/>
          <w:color w:val="auto"/>
          <w:sz w:val="30"/>
          <w:szCs w:val="30"/>
        </w:rPr>
      </w:pPr>
      <w:r>
        <w:rPr>
          <w:rFonts w:hint="eastAsia" w:ascii="黑体" w:hAnsi="_x000B__x000C_" w:eastAsia="黑体"/>
          <w:b/>
          <w:color w:val="auto"/>
          <w:sz w:val="30"/>
          <w:szCs w:val="30"/>
        </w:rPr>
        <w:t xml:space="preserve">  202</w:t>
      </w:r>
      <w:r>
        <w:rPr>
          <w:rFonts w:ascii="黑体" w:hAnsi="_x000B__x000C_" w:eastAsia="黑体"/>
          <w:b/>
          <w:color w:val="auto"/>
          <w:sz w:val="30"/>
          <w:szCs w:val="30"/>
        </w:rPr>
        <w:t>2</w:t>
      </w:r>
      <w:r>
        <w:rPr>
          <w:rFonts w:hint="eastAsia" w:ascii="黑体" w:hAnsi="_x000B__x000C_" w:eastAsia="黑体"/>
          <w:b/>
          <w:color w:val="auto"/>
          <w:sz w:val="30"/>
          <w:szCs w:val="30"/>
        </w:rPr>
        <w:t>年度财务报表</w:t>
      </w:r>
    </w:p>
    <w:p>
      <w:pPr>
        <w:spacing w:line="600" w:lineRule="auto"/>
        <w:jc w:val="center"/>
        <w:rPr>
          <w:rFonts w:eastAsia="黑体"/>
          <w:b/>
          <w:color w:val="auto"/>
          <w:sz w:val="30"/>
          <w:szCs w:val="30"/>
        </w:rPr>
      </w:pPr>
      <w:r>
        <w:rPr>
          <w:rFonts w:hint="eastAsia" w:ascii="黑体" w:hAnsi="_x000B__x000C_" w:eastAsia="黑体"/>
          <w:b/>
          <w:color w:val="auto"/>
          <w:sz w:val="30"/>
          <w:szCs w:val="30"/>
        </w:rPr>
        <w:t xml:space="preserve">  审 计 </w:t>
      </w:r>
      <w:r>
        <w:rPr>
          <w:rFonts w:hint="eastAsia" w:eastAsia="黑体"/>
          <w:b/>
          <w:color w:val="auto"/>
          <w:sz w:val="30"/>
          <w:szCs w:val="30"/>
        </w:rPr>
        <w:t>报 告</w:t>
      </w:r>
    </w:p>
    <w:p>
      <w:pPr>
        <w:spacing w:line="360" w:lineRule="exact"/>
        <w:rPr>
          <w:rFonts w:eastAsia="黑体"/>
          <w:color w:val="auto"/>
          <w:sz w:val="30"/>
          <w:szCs w:val="30"/>
        </w:rPr>
      </w:pPr>
    </w:p>
    <w:p>
      <w:pPr>
        <w:spacing w:line="280" w:lineRule="exact"/>
        <w:rPr>
          <w:rFonts w:eastAsia="黑体"/>
          <w:color w:val="auto"/>
          <w:sz w:val="32"/>
        </w:rPr>
      </w:pPr>
    </w:p>
    <w:p>
      <w:pPr>
        <w:rPr>
          <w:rFonts w:eastAsia="黑体"/>
          <w:color w:val="auto"/>
          <w:sz w:val="32"/>
        </w:rPr>
      </w:pPr>
    </w:p>
    <w:p>
      <w:pPr>
        <w:rPr>
          <w:rFonts w:eastAsia="黑体"/>
          <w:color w:val="auto"/>
          <w:sz w:val="32"/>
        </w:rPr>
      </w:pPr>
    </w:p>
    <w:p>
      <w:pPr>
        <w:rPr>
          <w:rFonts w:eastAsia="黑体"/>
          <w:color w:val="auto"/>
          <w:sz w:val="32"/>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sz w:val="32"/>
          <w:szCs w:val="32"/>
        </w:rPr>
      </w:pPr>
      <w:r>
        <w:rPr>
          <w:rFonts w:hint="eastAsia"/>
          <w:color w:val="auto"/>
        </w:rPr>
        <w:br w:type="page"/>
      </w:r>
    </w:p>
    <w:p>
      <w:pPr>
        <w:rPr>
          <w:rFonts w:hint="eastAsia"/>
          <w:color w:val="auto"/>
          <w:sz w:val="32"/>
          <w:szCs w:val="32"/>
        </w:rPr>
      </w:pPr>
    </w:p>
    <w:p>
      <w:pPr>
        <w:rPr>
          <w:rFonts w:hint="eastAsia"/>
          <w:color w:val="auto"/>
          <w:sz w:val="32"/>
          <w:szCs w:val="32"/>
        </w:rPr>
      </w:pPr>
    </w:p>
    <w:p>
      <w:pPr>
        <w:rPr>
          <w:rFonts w:hint="eastAsia"/>
          <w:color w:val="auto"/>
          <w:sz w:val="32"/>
          <w:szCs w:val="32"/>
        </w:rPr>
      </w:pPr>
    </w:p>
    <w:p>
      <w:pPr>
        <w:spacing w:before="209" w:beforeLines="50"/>
        <w:jc w:val="center"/>
        <w:rPr>
          <w:rFonts w:hint="eastAsia" w:ascii="隶书" w:hAnsi="楷体" w:eastAsia="隶书"/>
          <w:b/>
          <w:color w:val="auto"/>
          <w:sz w:val="48"/>
          <w:szCs w:val="48"/>
        </w:rPr>
      </w:pPr>
      <w:r>
        <w:rPr>
          <w:rFonts w:hint="eastAsia" w:ascii="隶书" w:hAnsi="楷体" w:eastAsia="隶书"/>
          <w:b/>
          <w:color w:val="auto"/>
          <w:sz w:val="48"/>
          <w:szCs w:val="48"/>
        </w:rPr>
        <w:t>青岛伟隆阀门股份有限公司</w:t>
      </w:r>
    </w:p>
    <w:p>
      <w:pPr>
        <w:jc w:val="center"/>
        <w:rPr>
          <w:rFonts w:hint="eastAsia" w:ascii="隶书" w:hAnsi="楷体" w:eastAsia="隶书"/>
          <w:b/>
          <w:color w:val="auto"/>
          <w:sz w:val="48"/>
          <w:szCs w:val="48"/>
        </w:rPr>
      </w:pPr>
      <w:r>
        <w:rPr>
          <w:rFonts w:hint="eastAsia" w:ascii="隶书" w:hAnsi="楷体" w:eastAsia="隶书"/>
          <w:b/>
          <w:color w:val="auto"/>
          <w:sz w:val="48"/>
          <w:szCs w:val="48"/>
        </w:rPr>
        <w:t>审计报告</w:t>
      </w:r>
    </w:p>
    <w:p>
      <w:pPr>
        <w:jc w:val="center"/>
        <w:rPr>
          <w:rFonts w:hint="eastAsia" w:ascii="楷体" w:hAnsi="楷体" w:eastAsia="楷体"/>
          <w:b/>
          <w:color w:val="auto"/>
          <w:sz w:val="24"/>
        </w:rPr>
      </w:pPr>
      <w:r>
        <w:rPr>
          <w:rFonts w:hint="eastAsia" w:ascii="楷体" w:hAnsi="楷体" w:eastAsia="楷体"/>
          <w:b/>
          <w:color w:val="auto"/>
          <w:sz w:val="24"/>
        </w:rPr>
        <w:t>和信审字（202</w:t>
      </w:r>
      <w:r>
        <w:rPr>
          <w:rFonts w:ascii="楷体" w:hAnsi="楷体" w:eastAsia="楷体"/>
          <w:b/>
          <w:color w:val="auto"/>
          <w:sz w:val="24"/>
        </w:rPr>
        <w:t>3</w:t>
      </w:r>
      <w:r>
        <w:rPr>
          <w:rFonts w:hint="eastAsia" w:ascii="楷体" w:hAnsi="楷体" w:eastAsia="楷体"/>
          <w:b/>
          <w:color w:val="auto"/>
          <w:sz w:val="24"/>
        </w:rPr>
        <w:t>）第</w:t>
      </w:r>
      <w:r>
        <w:rPr>
          <w:rFonts w:ascii="楷体" w:hAnsi="楷体" w:eastAsia="楷体"/>
          <w:b/>
          <w:color w:val="auto"/>
          <w:sz w:val="24"/>
          <w:szCs w:val="28"/>
        </w:rPr>
        <w:t>000</w:t>
      </w:r>
      <w:r>
        <w:rPr>
          <w:rFonts w:hint="eastAsia" w:ascii="楷体" w:hAnsi="楷体" w:eastAsia="楷体"/>
          <w:b/>
          <w:color w:val="auto"/>
          <w:sz w:val="24"/>
          <w:szCs w:val="28"/>
        </w:rPr>
        <w:t>254</w:t>
      </w:r>
      <w:r>
        <w:rPr>
          <w:rFonts w:hint="eastAsia" w:ascii="楷体" w:hAnsi="楷体" w:eastAsia="楷体"/>
          <w:b/>
          <w:color w:val="auto"/>
          <w:sz w:val="24"/>
        </w:rPr>
        <w:t>号</w:t>
      </w:r>
    </w:p>
    <w:p>
      <w:pPr>
        <w:snapToGrid w:val="0"/>
        <w:spacing w:before="156" w:line="360" w:lineRule="auto"/>
        <w:jc w:val="center"/>
        <w:rPr>
          <w:color w:val="auto"/>
          <w:szCs w:val="21"/>
        </w:rPr>
      </w:pPr>
    </w:p>
    <w:tbl>
      <w:tblPr>
        <w:tblStyle w:val="9"/>
        <w:tblW w:w="7673" w:type="dxa"/>
        <w:tblInd w:w="468" w:type="dxa"/>
        <w:tblLayout w:type="fixed"/>
        <w:tblCellMar>
          <w:top w:w="0" w:type="dxa"/>
          <w:left w:w="108" w:type="dxa"/>
          <w:bottom w:w="0" w:type="dxa"/>
          <w:right w:w="108" w:type="dxa"/>
        </w:tblCellMar>
      </w:tblPr>
      <w:tblGrid>
        <w:gridCol w:w="4140"/>
        <w:gridCol w:w="2021"/>
        <w:gridCol w:w="142"/>
        <w:gridCol w:w="1134"/>
        <w:gridCol w:w="126"/>
        <w:gridCol w:w="110"/>
      </w:tblGrid>
      <w:tr>
        <w:trPr>
          <w:gridAfter w:val="1"/>
          <w:wAfter w:w="110" w:type="dxa"/>
          <w:cantSplit/>
        </w:trPr>
        <w:tc>
          <w:tcPr>
            <w:tcW w:w="4140" w:type="dxa"/>
            <w:tcBorders>
              <w:bottom w:val="single" w:color="auto" w:sz="4" w:space="0"/>
            </w:tcBorders>
            <w:noWrap w:val="0"/>
            <w:vAlign w:val="top"/>
          </w:tcPr>
          <w:p>
            <w:pPr>
              <w:spacing w:before="156" w:line="520" w:lineRule="exact"/>
              <w:jc w:val="center"/>
              <w:rPr>
                <w:rFonts w:ascii="楷体" w:hAnsi="楷体" w:eastAsia="楷体"/>
                <w:b/>
                <w:bCs/>
                <w:color w:val="auto"/>
                <w:sz w:val="28"/>
                <w:szCs w:val="28"/>
              </w:rPr>
            </w:pPr>
            <w:r>
              <w:rPr>
                <w:rFonts w:ascii="楷体" w:hAnsi="楷体" w:eastAsia="楷体"/>
                <w:b/>
                <w:bCs/>
                <w:color w:val="auto"/>
                <w:sz w:val="28"/>
                <w:szCs w:val="28"/>
              </w:rPr>
              <w:t>目</w:t>
            </w:r>
            <w:r>
              <w:rPr>
                <w:rFonts w:hint="eastAsia" w:ascii="楷体" w:hAnsi="楷体" w:eastAsia="楷体"/>
                <w:b/>
                <w:bCs/>
                <w:color w:val="auto"/>
                <w:sz w:val="28"/>
                <w:szCs w:val="28"/>
              </w:rPr>
              <w:t xml:space="preserve">  </w:t>
            </w:r>
            <w:r>
              <w:rPr>
                <w:rFonts w:ascii="楷体" w:hAnsi="楷体" w:eastAsia="楷体"/>
                <w:b/>
                <w:bCs/>
                <w:color w:val="auto"/>
                <w:sz w:val="28"/>
                <w:szCs w:val="28"/>
              </w:rPr>
              <w:t>录</w:t>
            </w:r>
          </w:p>
        </w:tc>
        <w:tc>
          <w:tcPr>
            <w:tcW w:w="2021" w:type="dxa"/>
            <w:noWrap w:val="0"/>
            <w:vAlign w:val="top"/>
          </w:tcPr>
          <w:p>
            <w:pPr>
              <w:spacing w:before="156" w:line="520" w:lineRule="exact"/>
              <w:rPr>
                <w:rFonts w:ascii="楷体" w:hAnsi="楷体" w:eastAsia="楷体"/>
                <w:b/>
                <w:bCs/>
                <w:color w:val="auto"/>
                <w:sz w:val="28"/>
                <w:szCs w:val="28"/>
              </w:rPr>
            </w:pPr>
          </w:p>
        </w:tc>
        <w:tc>
          <w:tcPr>
            <w:tcW w:w="1402" w:type="dxa"/>
            <w:gridSpan w:val="3"/>
            <w:tcBorders>
              <w:bottom w:val="single" w:color="auto" w:sz="4" w:space="0"/>
            </w:tcBorders>
            <w:noWrap w:val="0"/>
            <w:vAlign w:val="top"/>
          </w:tcPr>
          <w:p>
            <w:pPr>
              <w:tabs>
                <w:tab w:val="left" w:pos="207"/>
              </w:tabs>
              <w:spacing w:before="156" w:line="520" w:lineRule="exact"/>
              <w:ind w:firstLine="282" w:firstLineChars="100"/>
              <w:jc w:val="left"/>
              <w:rPr>
                <w:rFonts w:ascii="楷体" w:hAnsi="楷体" w:eastAsia="楷体"/>
                <w:b/>
                <w:bCs/>
                <w:color w:val="auto"/>
                <w:sz w:val="28"/>
                <w:szCs w:val="28"/>
              </w:rPr>
            </w:pPr>
            <w:r>
              <w:rPr>
                <w:rFonts w:ascii="楷体" w:hAnsi="楷体" w:eastAsia="楷体"/>
                <w:b/>
                <w:bCs/>
                <w:color w:val="auto"/>
                <w:sz w:val="28"/>
                <w:szCs w:val="28"/>
              </w:rPr>
              <w:t>页</w:t>
            </w:r>
            <w:r>
              <w:rPr>
                <w:rFonts w:hint="eastAsia" w:ascii="楷体" w:hAnsi="楷体" w:eastAsia="楷体"/>
                <w:b/>
                <w:bCs/>
                <w:color w:val="auto"/>
                <w:sz w:val="28"/>
                <w:szCs w:val="28"/>
              </w:rPr>
              <w:t xml:space="preserve">  </w:t>
            </w:r>
            <w:r>
              <w:rPr>
                <w:rFonts w:ascii="楷体" w:hAnsi="楷体" w:eastAsia="楷体"/>
                <w:b/>
                <w:bCs/>
                <w:color w:val="auto"/>
                <w:sz w:val="28"/>
                <w:szCs w:val="28"/>
              </w:rPr>
              <w:t>码</w:t>
            </w:r>
          </w:p>
        </w:tc>
      </w:tr>
      <w:tr>
        <w:tblPrEx>
          <w:tblCellMar>
            <w:top w:w="0" w:type="dxa"/>
            <w:left w:w="108" w:type="dxa"/>
            <w:bottom w:w="0" w:type="dxa"/>
            <w:right w:w="108" w:type="dxa"/>
          </w:tblCellMar>
        </w:tblPrEx>
        <w:trPr>
          <w:gridAfter w:val="1"/>
          <w:wAfter w:w="110" w:type="dxa"/>
          <w:cantSplit/>
        </w:trPr>
        <w:tc>
          <w:tcPr>
            <w:tcW w:w="6303" w:type="dxa"/>
            <w:gridSpan w:val="3"/>
            <w:noWrap w:val="0"/>
            <w:vAlign w:val="top"/>
          </w:tcPr>
          <w:p>
            <w:pPr>
              <w:spacing w:before="156" w:line="520" w:lineRule="exact"/>
              <w:rPr>
                <w:rFonts w:ascii="楷体" w:hAnsi="楷体" w:eastAsia="楷体"/>
                <w:b/>
                <w:color w:val="auto"/>
                <w:sz w:val="28"/>
                <w:szCs w:val="28"/>
              </w:rPr>
            </w:pPr>
            <w:r>
              <w:rPr>
                <w:rFonts w:ascii="楷体" w:hAnsi="楷体" w:eastAsia="楷体"/>
                <w:b/>
                <w:color w:val="auto"/>
                <w:sz w:val="28"/>
                <w:szCs w:val="28"/>
              </w:rPr>
              <w:t>一、审计报告</w:t>
            </w:r>
          </w:p>
        </w:tc>
        <w:tc>
          <w:tcPr>
            <w:tcW w:w="1260" w:type="dxa"/>
            <w:gridSpan w:val="2"/>
            <w:tcBorders>
              <w:top w:val="single" w:color="auto" w:sz="4" w:space="0"/>
            </w:tcBorders>
            <w:noWrap w:val="0"/>
            <w:vAlign w:val="top"/>
          </w:tcPr>
          <w:p>
            <w:pPr>
              <w:tabs>
                <w:tab w:val="left" w:pos="207"/>
              </w:tabs>
              <w:spacing w:before="156" w:line="520" w:lineRule="exact"/>
              <w:ind w:firstLine="282" w:firstLineChars="100"/>
              <w:rPr>
                <w:rFonts w:ascii="楷体" w:hAnsi="楷体" w:eastAsia="楷体"/>
                <w:color w:val="auto"/>
                <w:sz w:val="28"/>
                <w:szCs w:val="28"/>
              </w:rPr>
            </w:pPr>
            <w:r>
              <w:rPr>
                <w:rFonts w:ascii="楷体" w:hAnsi="楷体" w:eastAsia="楷体"/>
                <w:color w:val="auto"/>
                <w:sz w:val="28"/>
                <w:szCs w:val="28"/>
              </w:rPr>
              <w:t>1-</w:t>
            </w:r>
            <w:r>
              <w:rPr>
                <w:rFonts w:hint="eastAsia" w:ascii="楷体" w:hAnsi="楷体" w:eastAsia="楷体"/>
                <w:color w:val="auto"/>
                <w:sz w:val="28"/>
                <w:szCs w:val="28"/>
              </w:rPr>
              <w:t>6</w:t>
            </w:r>
          </w:p>
        </w:tc>
      </w:tr>
      <w:tr>
        <w:tblPrEx>
          <w:tblCellMar>
            <w:top w:w="0" w:type="dxa"/>
            <w:left w:w="108" w:type="dxa"/>
            <w:bottom w:w="0" w:type="dxa"/>
            <w:right w:w="108" w:type="dxa"/>
          </w:tblCellMar>
        </w:tblPrEx>
        <w:trPr>
          <w:gridAfter w:val="1"/>
          <w:wAfter w:w="110" w:type="dxa"/>
          <w:cantSplit/>
          <w:trHeight w:val="395" w:hRule="atLeast"/>
        </w:trPr>
        <w:tc>
          <w:tcPr>
            <w:tcW w:w="6303" w:type="dxa"/>
            <w:gridSpan w:val="3"/>
            <w:noWrap w:val="0"/>
            <w:vAlign w:val="top"/>
          </w:tcPr>
          <w:p>
            <w:pPr>
              <w:tabs>
                <w:tab w:val="left" w:pos="879"/>
              </w:tabs>
              <w:spacing w:before="156" w:line="520" w:lineRule="exact"/>
              <w:rPr>
                <w:rFonts w:ascii="楷体" w:hAnsi="楷体" w:eastAsia="楷体"/>
                <w:b/>
                <w:color w:val="auto"/>
                <w:sz w:val="28"/>
                <w:szCs w:val="28"/>
              </w:rPr>
            </w:pPr>
            <w:r>
              <w:rPr>
                <w:rFonts w:ascii="楷体" w:hAnsi="楷体" w:eastAsia="楷体"/>
                <w:b/>
                <w:color w:val="auto"/>
                <w:sz w:val="28"/>
                <w:szCs w:val="28"/>
              </w:rPr>
              <w:t>二、已审</w:t>
            </w:r>
            <w:r>
              <w:rPr>
                <w:rFonts w:hint="eastAsia" w:ascii="楷体" w:hAnsi="楷体" w:eastAsia="楷体"/>
                <w:b/>
                <w:color w:val="auto"/>
                <w:sz w:val="28"/>
                <w:szCs w:val="28"/>
              </w:rPr>
              <w:t>财务</w:t>
            </w:r>
            <w:r>
              <w:rPr>
                <w:rFonts w:ascii="楷体" w:hAnsi="楷体" w:eastAsia="楷体"/>
                <w:b/>
                <w:color w:val="auto"/>
                <w:sz w:val="28"/>
                <w:szCs w:val="28"/>
              </w:rPr>
              <w:t>报表及附注</w:t>
            </w:r>
          </w:p>
        </w:tc>
        <w:tc>
          <w:tcPr>
            <w:tcW w:w="1260" w:type="dxa"/>
            <w:gridSpan w:val="2"/>
            <w:noWrap w:val="0"/>
            <w:vAlign w:val="top"/>
          </w:tcPr>
          <w:p>
            <w:pPr>
              <w:tabs>
                <w:tab w:val="left" w:pos="176"/>
                <w:tab w:val="left" w:pos="601"/>
              </w:tabs>
              <w:spacing w:before="156" w:line="520" w:lineRule="exact"/>
              <w:ind w:right="159" w:rightChars="75" w:hanging="31"/>
              <w:jc w:val="center"/>
              <w:rPr>
                <w:rFonts w:ascii="楷体" w:hAnsi="楷体" w:eastAsia="楷体"/>
                <w:color w:val="auto"/>
                <w:sz w:val="28"/>
                <w:szCs w:val="28"/>
              </w:rPr>
            </w:pPr>
          </w:p>
        </w:tc>
      </w:tr>
      <w:tr>
        <w:tblPrEx>
          <w:tblCellMar>
            <w:top w:w="0" w:type="dxa"/>
            <w:left w:w="108" w:type="dxa"/>
            <w:bottom w:w="0" w:type="dxa"/>
            <w:right w:w="108" w:type="dxa"/>
          </w:tblCellMar>
        </w:tblPrEx>
        <w:trPr>
          <w:gridAfter w:val="1"/>
          <w:wAfter w:w="110" w:type="dxa"/>
          <w:cantSplit/>
        </w:trPr>
        <w:tc>
          <w:tcPr>
            <w:tcW w:w="6303" w:type="dxa"/>
            <w:gridSpan w:val="3"/>
            <w:noWrap w:val="0"/>
            <w:vAlign w:val="top"/>
          </w:tcPr>
          <w:p>
            <w:pPr>
              <w:tabs>
                <w:tab w:val="left" w:pos="879"/>
              </w:tabs>
              <w:spacing w:before="156" w:line="520" w:lineRule="exact"/>
              <w:ind w:firstLine="540"/>
              <w:rPr>
                <w:rFonts w:hint="eastAsia" w:ascii="楷体" w:hAnsi="楷体" w:eastAsia="楷体"/>
                <w:color w:val="auto"/>
                <w:sz w:val="28"/>
                <w:szCs w:val="28"/>
              </w:rPr>
            </w:pPr>
            <w:r>
              <w:rPr>
                <w:rFonts w:ascii="楷体" w:hAnsi="楷体" w:eastAsia="楷体"/>
                <w:color w:val="auto"/>
                <w:sz w:val="28"/>
                <w:szCs w:val="28"/>
              </w:rPr>
              <w:t>1、</w:t>
            </w:r>
            <w:r>
              <w:rPr>
                <w:rFonts w:hint="eastAsia" w:ascii="楷体" w:hAnsi="楷体" w:eastAsia="楷体"/>
                <w:color w:val="auto"/>
                <w:sz w:val="28"/>
                <w:szCs w:val="28"/>
              </w:rPr>
              <w:t>合并及公司</w:t>
            </w:r>
            <w:r>
              <w:rPr>
                <w:rFonts w:ascii="楷体" w:hAnsi="楷体" w:eastAsia="楷体"/>
                <w:color w:val="auto"/>
                <w:sz w:val="28"/>
                <w:szCs w:val="28"/>
              </w:rPr>
              <w:t>资产负债表</w:t>
            </w:r>
          </w:p>
        </w:tc>
        <w:tc>
          <w:tcPr>
            <w:tcW w:w="1260" w:type="dxa"/>
            <w:gridSpan w:val="2"/>
            <w:noWrap w:val="0"/>
            <w:vAlign w:val="top"/>
          </w:tcPr>
          <w:p>
            <w:pPr>
              <w:tabs>
                <w:tab w:val="left" w:pos="-108"/>
                <w:tab w:val="left" w:pos="879"/>
              </w:tabs>
              <w:spacing w:before="156" w:line="520" w:lineRule="exact"/>
              <w:ind w:left="-106" w:leftChars="-50" w:right="222" w:rightChars="105" w:firstLine="282" w:firstLineChars="100"/>
              <w:rPr>
                <w:rFonts w:ascii="楷体" w:hAnsi="楷体" w:eastAsia="楷体"/>
                <w:color w:val="auto"/>
                <w:sz w:val="28"/>
                <w:szCs w:val="28"/>
              </w:rPr>
            </w:pPr>
            <w:r>
              <w:rPr>
                <w:rFonts w:hint="eastAsia" w:ascii="楷体" w:hAnsi="楷体" w:eastAsia="楷体"/>
                <w:color w:val="auto"/>
                <w:sz w:val="28"/>
                <w:szCs w:val="28"/>
              </w:rPr>
              <w:t>7</w:t>
            </w:r>
            <w:r>
              <w:rPr>
                <w:rFonts w:ascii="楷体" w:hAnsi="楷体" w:eastAsia="楷体"/>
                <w:color w:val="auto"/>
                <w:sz w:val="28"/>
                <w:szCs w:val="28"/>
              </w:rPr>
              <w:t>-</w:t>
            </w:r>
            <w:r>
              <w:rPr>
                <w:rFonts w:hint="eastAsia" w:ascii="楷体" w:hAnsi="楷体" w:eastAsia="楷体"/>
                <w:color w:val="auto"/>
                <w:sz w:val="28"/>
                <w:szCs w:val="28"/>
              </w:rPr>
              <w:t>10</w:t>
            </w:r>
          </w:p>
        </w:tc>
      </w:tr>
      <w:tr>
        <w:tblPrEx>
          <w:tblCellMar>
            <w:top w:w="0" w:type="dxa"/>
            <w:left w:w="108" w:type="dxa"/>
            <w:bottom w:w="0" w:type="dxa"/>
            <w:right w:w="108" w:type="dxa"/>
          </w:tblCellMar>
        </w:tblPrEx>
        <w:trPr>
          <w:gridAfter w:val="2"/>
          <w:wAfter w:w="236" w:type="dxa"/>
          <w:cantSplit/>
          <w:trHeight w:val="369" w:hRule="atLeast"/>
        </w:trPr>
        <w:tc>
          <w:tcPr>
            <w:tcW w:w="7437" w:type="dxa"/>
            <w:gridSpan w:val="4"/>
            <w:noWrap w:val="0"/>
            <w:vAlign w:val="top"/>
          </w:tcPr>
          <w:p>
            <w:pPr>
              <w:tabs>
                <w:tab w:val="left" w:pos="879"/>
                <w:tab w:val="left" w:pos="6478"/>
                <w:tab w:val="left" w:pos="6747"/>
                <w:tab w:val="left" w:pos="7187"/>
              </w:tabs>
              <w:spacing w:before="156" w:line="520" w:lineRule="exact"/>
              <w:ind w:right="-359" w:firstLine="540"/>
              <w:jc w:val="left"/>
              <w:rPr>
                <w:rFonts w:ascii="楷体" w:hAnsi="楷体" w:eastAsia="楷体"/>
                <w:color w:val="auto"/>
                <w:sz w:val="28"/>
                <w:szCs w:val="28"/>
              </w:rPr>
            </w:pPr>
            <w:r>
              <w:rPr>
                <w:rFonts w:ascii="楷体" w:hAnsi="楷体" w:eastAsia="楷体"/>
                <w:color w:val="auto"/>
                <w:sz w:val="28"/>
                <w:szCs w:val="28"/>
              </w:rPr>
              <w:t>2、</w:t>
            </w:r>
            <w:bookmarkStart w:id="1" w:name="OLE_LINK4"/>
            <w:bookmarkStart w:id="2" w:name="OLE_LINK3"/>
            <w:r>
              <w:rPr>
                <w:rFonts w:hint="eastAsia" w:ascii="楷体" w:hAnsi="楷体" w:eastAsia="楷体"/>
                <w:color w:val="auto"/>
                <w:sz w:val="28"/>
                <w:szCs w:val="28"/>
              </w:rPr>
              <w:t>合并及公司</w:t>
            </w:r>
            <w:bookmarkEnd w:id="1"/>
            <w:bookmarkEnd w:id="2"/>
            <w:r>
              <w:rPr>
                <w:rFonts w:ascii="楷体" w:hAnsi="楷体" w:eastAsia="楷体"/>
                <w:color w:val="auto"/>
                <w:sz w:val="28"/>
                <w:szCs w:val="28"/>
              </w:rPr>
              <w:t>利润表</w:t>
            </w:r>
            <w:r>
              <w:rPr>
                <w:rFonts w:hint="eastAsia" w:ascii="楷体" w:hAnsi="楷体" w:eastAsia="楷体"/>
                <w:color w:val="auto"/>
                <w:sz w:val="28"/>
                <w:szCs w:val="28"/>
              </w:rPr>
              <w:t xml:space="preserve">                       11-12</w:t>
            </w:r>
          </w:p>
        </w:tc>
      </w:tr>
      <w:tr>
        <w:tblPrEx>
          <w:tblCellMar>
            <w:top w:w="0" w:type="dxa"/>
            <w:left w:w="108" w:type="dxa"/>
            <w:bottom w:w="0" w:type="dxa"/>
            <w:right w:w="108" w:type="dxa"/>
          </w:tblCellMar>
        </w:tblPrEx>
        <w:trPr>
          <w:cantSplit/>
          <w:trHeight w:val="349" w:hRule="atLeast"/>
        </w:trPr>
        <w:tc>
          <w:tcPr>
            <w:tcW w:w="7437" w:type="dxa"/>
            <w:gridSpan w:val="4"/>
            <w:noWrap w:val="0"/>
            <w:vAlign w:val="top"/>
          </w:tcPr>
          <w:p>
            <w:pPr>
              <w:tabs>
                <w:tab w:val="left" w:pos="879"/>
              </w:tabs>
              <w:spacing w:before="156" w:line="520" w:lineRule="exact"/>
              <w:ind w:right="-218" w:firstLine="540"/>
              <w:jc w:val="left"/>
              <w:rPr>
                <w:rFonts w:ascii="楷体" w:hAnsi="楷体" w:eastAsia="楷体"/>
                <w:color w:val="auto"/>
                <w:sz w:val="28"/>
                <w:szCs w:val="28"/>
              </w:rPr>
            </w:pPr>
            <w:r>
              <w:rPr>
                <w:rFonts w:ascii="楷体" w:hAnsi="楷体" w:eastAsia="楷体"/>
                <w:color w:val="auto"/>
                <w:sz w:val="28"/>
                <w:szCs w:val="28"/>
              </w:rPr>
              <w:t>3</w:t>
            </w:r>
            <w:r>
              <w:rPr>
                <w:rFonts w:hint="eastAsia" w:ascii="楷体" w:hAnsi="楷体" w:eastAsia="楷体"/>
                <w:color w:val="auto"/>
                <w:sz w:val="28"/>
                <w:szCs w:val="28"/>
              </w:rPr>
              <w:t>、合并及公司现金流量表                   13-14</w:t>
            </w:r>
          </w:p>
        </w:tc>
        <w:tc>
          <w:tcPr>
            <w:tcW w:w="236" w:type="dxa"/>
            <w:gridSpan w:val="2"/>
            <w:noWrap w:val="0"/>
            <w:vAlign w:val="top"/>
          </w:tcPr>
          <w:p>
            <w:pPr>
              <w:tabs>
                <w:tab w:val="left" w:pos="207"/>
                <w:tab w:val="left" w:pos="879"/>
              </w:tabs>
              <w:spacing w:before="156" w:line="520" w:lineRule="exact"/>
              <w:ind w:right="564"/>
              <w:rPr>
                <w:rFonts w:ascii="楷体" w:hAnsi="楷体" w:eastAsia="楷体"/>
                <w:color w:val="auto"/>
                <w:sz w:val="28"/>
                <w:szCs w:val="28"/>
              </w:rPr>
            </w:pPr>
          </w:p>
        </w:tc>
      </w:tr>
      <w:tr>
        <w:tblPrEx>
          <w:tblCellMar>
            <w:top w:w="0" w:type="dxa"/>
            <w:left w:w="108" w:type="dxa"/>
            <w:bottom w:w="0" w:type="dxa"/>
            <w:right w:w="108" w:type="dxa"/>
          </w:tblCellMar>
        </w:tblPrEx>
        <w:trPr>
          <w:cantSplit/>
          <w:trHeight w:val="358" w:hRule="atLeast"/>
        </w:trPr>
        <w:tc>
          <w:tcPr>
            <w:tcW w:w="7437" w:type="dxa"/>
            <w:gridSpan w:val="4"/>
            <w:noWrap w:val="0"/>
            <w:vAlign w:val="top"/>
          </w:tcPr>
          <w:p>
            <w:pPr>
              <w:spacing w:before="156" w:line="520" w:lineRule="exact"/>
              <w:ind w:right="-74" w:rightChars="-35" w:firstLine="540"/>
              <w:jc w:val="left"/>
              <w:rPr>
                <w:rFonts w:hint="eastAsia" w:ascii="楷体" w:hAnsi="楷体" w:eastAsia="楷体"/>
                <w:color w:val="auto"/>
                <w:sz w:val="28"/>
                <w:szCs w:val="28"/>
              </w:rPr>
            </w:pPr>
            <w:r>
              <w:rPr>
                <w:rFonts w:hint="eastAsia" w:ascii="楷体" w:hAnsi="楷体" w:eastAsia="楷体"/>
                <w:color w:val="auto"/>
                <w:sz w:val="28"/>
                <w:szCs w:val="28"/>
              </w:rPr>
              <w:t>4、合并及公司股东权益变动表               15-18</w:t>
            </w:r>
          </w:p>
        </w:tc>
        <w:tc>
          <w:tcPr>
            <w:tcW w:w="236" w:type="dxa"/>
            <w:gridSpan w:val="2"/>
            <w:noWrap w:val="0"/>
            <w:vAlign w:val="top"/>
          </w:tcPr>
          <w:p>
            <w:pPr>
              <w:tabs>
                <w:tab w:val="left" w:pos="207"/>
                <w:tab w:val="left" w:pos="879"/>
              </w:tabs>
              <w:spacing w:before="156" w:line="520" w:lineRule="exact"/>
              <w:ind w:hanging="31"/>
              <w:jc w:val="right"/>
              <w:rPr>
                <w:rFonts w:ascii="楷体" w:hAnsi="楷体" w:eastAsia="楷体"/>
                <w:color w:val="auto"/>
                <w:sz w:val="28"/>
                <w:szCs w:val="28"/>
              </w:rPr>
            </w:pPr>
          </w:p>
        </w:tc>
      </w:tr>
      <w:tr>
        <w:tblPrEx>
          <w:tblCellMar>
            <w:top w:w="0" w:type="dxa"/>
            <w:left w:w="108" w:type="dxa"/>
            <w:bottom w:w="0" w:type="dxa"/>
            <w:right w:w="108" w:type="dxa"/>
          </w:tblCellMar>
        </w:tblPrEx>
        <w:trPr>
          <w:cantSplit/>
          <w:trHeight w:val="351" w:hRule="atLeast"/>
        </w:trPr>
        <w:tc>
          <w:tcPr>
            <w:tcW w:w="7437" w:type="dxa"/>
            <w:gridSpan w:val="4"/>
            <w:noWrap w:val="0"/>
            <w:vAlign w:val="top"/>
          </w:tcPr>
          <w:p>
            <w:pPr>
              <w:tabs>
                <w:tab w:val="left" w:pos="6837"/>
              </w:tabs>
              <w:spacing w:before="156" w:line="520" w:lineRule="exact"/>
              <w:ind w:right="-74" w:rightChars="-35" w:firstLine="540"/>
              <w:rPr>
                <w:rFonts w:ascii="楷体" w:hAnsi="楷体" w:eastAsia="楷体"/>
                <w:color w:val="auto"/>
                <w:sz w:val="28"/>
                <w:szCs w:val="28"/>
              </w:rPr>
            </w:pPr>
            <w:r>
              <w:rPr>
                <w:rFonts w:hint="eastAsia" w:ascii="楷体" w:hAnsi="楷体" w:eastAsia="楷体"/>
                <w:color w:val="auto"/>
                <w:sz w:val="28"/>
                <w:szCs w:val="28"/>
              </w:rPr>
              <w:t>5</w:t>
            </w:r>
            <w:r>
              <w:rPr>
                <w:rFonts w:ascii="楷体" w:hAnsi="楷体" w:eastAsia="楷体"/>
                <w:color w:val="auto"/>
                <w:sz w:val="28"/>
                <w:szCs w:val="28"/>
              </w:rPr>
              <w:t>、</w:t>
            </w:r>
            <w:r>
              <w:rPr>
                <w:rFonts w:hint="eastAsia" w:ascii="楷体" w:hAnsi="楷体" w:eastAsia="楷体"/>
                <w:color w:val="auto"/>
                <w:sz w:val="28"/>
                <w:szCs w:val="28"/>
              </w:rPr>
              <w:t>财务</w:t>
            </w:r>
            <w:r>
              <w:rPr>
                <w:rFonts w:ascii="楷体" w:hAnsi="楷体" w:eastAsia="楷体"/>
                <w:color w:val="auto"/>
                <w:sz w:val="28"/>
                <w:szCs w:val="28"/>
              </w:rPr>
              <w:t>报表附注</w:t>
            </w:r>
            <w:r>
              <w:rPr>
                <w:rFonts w:hint="eastAsia" w:ascii="楷体" w:hAnsi="楷体" w:eastAsia="楷体"/>
                <w:color w:val="auto"/>
                <w:sz w:val="28"/>
                <w:szCs w:val="28"/>
              </w:rPr>
              <w:t xml:space="preserve">                           19-110 </w:t>
            </w:r>
          </w:p>
        </w:tc>
        <w:tc>
          <w:tcPr>
            <w:tcW w:w="236" w:type="dxa"/>
            <w:gridSpan w:val="2"/>
            <w:noWrap w:val="0"/>
            <w:vAlign w:val="top"/>
          </w:tcPr>
          <w:p>
            <w:pPr>
              <w:tabs>
                <w:tab w:val="left" w:pos="207"/>
                <w:tab w:val="left" w:pos="879"/>
              </w:tabs>
              <w:spacing w:before="156" w:line="520" w:lineRule="exact"/>
              <w:ind w:hanging="31"/>
              <w:jc w:val="right"/>
              <w:rPr>
                <w:rFonts w:ascii="楷体" w:hAnsi="楷体" w:eastAsia="楷体"/>
                <w:color w:val="auto"/>
                <w:sz w:val="28"/>
                <w:szCs w:val="28"/>
              </w:rPr>
            </w:pPr>
          </w:p>
        </w:tc>
      </w:tr>
    </w:tbl>
    <w:p>
      <w:pPr>
        <w:tabs>
          <w:tab w:val="left" w:pos="3621"/>
        </w:tabs>
        <w:spacing w:before="156"/>
        <w:rPr>
          <w:rFonts w:ascii="楷体" w:hAnsi="楷体" w:eastAsia="楷体"/>
          <w:color w:val="auto"/>
        </w:rPr>
      </w:pPr>
      <w:r>
        <w:rPr>
          <w:rFonts w:ascii="楷体" w:hAnsi="楷体" w:eastAsia="楷体"/>
          <w:color w:val="auto"/>
        </w:rPr>
        <w:tab/>
      </w:r>
    </w:p>
    <w:p>
      <w:pPr>
        <w:tabs>
          <w:tab w:val="left" w:pos="1935"/>
        </w:tabs>
        <w:spacing w:line="240" w:lineRule="exact"/>
        <w:rPr>
          <w:rFonts w:hint="eastAsia" w:ascii="黑体" w:hAnsi="黑体" w:eastAsia="黑体"/>
          <w:color w:val="auto"/>
          <w:sz w:val="52"/>
          <w:szCs w:val="52"/>
        </w:rPr>
      </w:pPr>
      <w:r>
        <w:rPr>
          <w:rFonts w:ascii="黑体" w:hAnsi="黑体" w:eastAsia="黑体"/>
          <w:color w:val="auto"/>
          <w:sz w:val="52"/>
          <w:szCs w:val="52"/>
        </w:rPr>
        <w:tab/>
      </w:r>
    </w:p>
    <w:p>
      <w:pPr>
        <w:spacing w:line="240" w:lineRule="exact"/>
        <w:jc w:val="center"/>
        <w:rPr>
          <w:rFonts w:hint="eastAsia" w:ascii="黑体" w:hAnsi="黑体" w:eastAsia="黑体"/>
          <w:color w:val="auto"/>
          <w:sz w:val="52"/>
          <w:szCs w:val="52"/>
        </w:rPr>
      </w:pPr>
    </w:p>
    <w:p>
      <w:pPr>
        <w:spacing w:line="240" w:lineRule="exact"/>
        <w:jc w:val="center"/>
        <w:rPr>
          <w:rFonts w:hint="eastAsia" w:ascii="黑体" w:hAnsi="黑体" w:eastAsia="黑体"/>
          <w:color w:val="auto"/>
          <w:sz w:val="52"/>
          <w:szCs w:val="52"/>
        </w:rPr>
      </w:pPr>
    </w:p>
    <w:p>
      <w:pPr>
        <w:ind w:right="-57" w:rightChars="-27"/>
        <w:jc w:val="center"/>
        <w:rPr>
          <w:rFonts w:hint="eastAsia" w:ascii="楷体" w:hAnsi="楷体" w:eastAsia="楷体"/>
          <w:b/>
          <w:color w:val="auto"/>
          <w:sz w:val="40"/>
          <w:szCs w:val="48"/>
        </w:rPr>
      </w:pPr>
      <w:r>
        <w:rPr>
          <w:rFonts w:hint="eastAsia" w:ascii="楷体" w:hAnsi="楷体" w:eastAsia="楷体"/>
          <w:b/>
          <w:color w:val="auto"/>
          <w:sz w:val="40"/>
          <w:szCs w:val="48"/>
        </w:rPr>
        <w:drawing>
          <wp:anchor distT="0" distB="0" distL="114300" distR="114300" simplePos="0" relativeHeight="251659264" behindDoc="0" locked="0" layoutInCell="1" allowOverlap="1">
            <wp:simplePos x="0" y="0"/>
            <wp:positionH relativeFrom="column">
              <wp:posOffset>6985</wp:posOffset>
            </wp:positionH>
            <wp:positionV relativeFrom="paragraph">
              <wp:posOffset>85090</wp:posOffset>
            </wp:positionV>
            <wp:extent cx="406400" cy="399415"/>
            <wp:effectExtent l="0" t="0" r="12700" b="635"/>
            <wp:wrapNone/>
            <wp:docPr id="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1"/>
                    <pic:cNvPicPr>
                      <a:picLocks noChangeAspect="1"/>
                    </pic:cNvPicPr>
                  </pic:nvPicPr>
                  <pic:blipFill>
                    <a:blip r:embed="rId9"/>
                    <a:stretch>
                      <a:fillRect/>
                    </a:stretch>
                  </pic:blipFill>
                  <pic:spPr>
                    <a:xfrm>
                      <a:off x="0" y="0"/>
                      <a:ext cx="406400" cy="399415"/>
                    </a:xfrm>
                    <a:prstGeom prst="rect">
                      <a:avLst/>
                    </a:prstGeom>
                    <a:noFill/>
                    <a:ln>
                      <a:noFill/>
                    </a:ln>
                  </pic:spPr>
                </pic:pic>
              </a:graphicData>
            </a:graphic>
          </wp:anchor>
        </w:drawing>
      </w:r>
      <w:r>
        <w:rPr>
          <w:rFonts w:hint="eastAsia" w:ascii="楷体" w:hAnsi="楷体" w:eastAsia="楷体"/>
          <w:b/>
          <w:color w:val="auto"/>
          <w:sz w:val="40"/>
          <w:szCs w:val="48"/>
        </w:rPr>
        <w:t xml:space="preserve">  和信会计师事务所（特殊普通合伙）</w:t>
      </w:r>
    </w:p>
    <w:p>
      <w:pPr>
        <w:snapToGrid w:val="0"/>
        <w:jc w:val="center"/>
        <w:rPr>
          <w:rFonts w:hint="eastAsia" w:ascii="楷体" w:hAnsi="楷体" w:eastAsia="楷体"/>
          <w:b/>
          <w:color w:val="auto"/>
          <w:sz w:val="24"/>
          <w:szCs w:val="48"/>
        </w:rPr>
      </w:pPr>
    </w:p>
    <w:p>
      <w:pPr>
        <w:snapToGrid w:val="0"/>
        <w:jc w:val="center"/>
        <w:rPr>
          <w:rFonts w:hint="eastAsia" w:ascii="楷体" w:hAnsi="楷体" w:eastAsia="楷体"/>
          <w:b/>
          <w:color w:val="auto"/>
          <w:sz w:val="24"/>
          <w:szCs w:val="48"/>
        </w:rPr>
      </w:pPr>
    </w:p>
    <w:p>
      <w:pPr>
        <w:jc w:val="center"/>
        <w:rPr>
          <w:rFonts w:ascii="楷体" w:hAnsi="楷体" w:eastAsia="楷体"/>
          <w:b/>
          <w:color w:val="auto"/>
          <w:sz w:val="32"/>
          <w:szCs w:val="32"/>
        </w:rPr>
        <w:sectPr>
          <w:headerReference r:id="rId3" w:type="default"/>
          <w:footerReference r:id="rId4" w:type="default"/>
          <w:footerReference r:id="rId5" w:type="even"/>
          <w:pgSz w:w="11906" w:h="16838"/>
          <w:pgMar w:top="1985" w:right="1418" w:bottom="1418" w:left="1985" w:header="1134" w:footer="1134" w:gutter="0"/>
          <w:pgNumType w:start="1" w:chapStyle="1"/>
          <w:cols w:space="720" w:num="1"/>
          <w:titlePg/>
          <w:docGrid w:type="linesAndChars" w:linePitch="419" w:charSpace="527"/>
        </w:sectPr>
      </w:pPr>
      <w:r>
        <w:rPr>
          <w:rFonts w:hint="eastAsia" w:ascii="楷体" w:hAnsi="楷体" w:eastAsia="楷体"/>
          <w:b/>
          <w:color w:val="auto"/>
          <w:sz w:val="32"/>
          <w:szCs w:val="32"/>
        </w:rPr>
        <w:t>二○二三年三月二十日</w:t>
      </w:r>
    </w:p>
    <w:p>
      <w:pPr>
        <w:rPr>
          <w:rFonts w:ascii="宋体" w:hAnsi="宋体"/>
          <w:b/>
          <w:color w:val="auto"/>
          <w:sz w:val="28"/>
          <w:szCs w:val="28"/>
        </w:rPr>
      </w:pPr>
    </w:p>
    <w:p>
      <w:pPr>
        <w:adjustRightInd w:val="0"/>
        <w:snapToGrid w:val="0"/>
        <w:ind w:right="26"/>
        <w:jc w:val="center"/>
        <w:outlineLvl w:val="0"/>
        <w:rPr>
          <w:rFonts w:hint="eastAsia" w:ascii="楷体" w:hAnsi="楷体" w:eastAsia="楷体"/>
          <w:b/>
          <w:color w:val="auto"/>
          <w:sz w:val="72"/>
          <w:szCs w:val="72"/>
        </w:rPr>
      </w:pPr>
      <w:r>
        <w:rPr>
          <w:rFonts w:hint="eastAsia" w:ascii="楷体" w:hAnsi="楷体" w:eastAsia="楷体"/>
          <w:b/>
          <w:color w:val="auto"/>
          <w:sz w:val="72"/>
          <w:szCs w:val="72"/>
        </w:rPr>
        <w:t>审 计 报 告</w:t>
      </w:r>
    </w:p>
    <w:p>
      <w:pPr>
        <w:adjustRightInd w:val="0"/>
        <w:snapToGrid w:val="0"/>
        <w:ind w:right="26"/>
        <w:jc w:val="center"/>
        <w:outlineLvl w:val="0"/>
        <w:rPr>
          <w:rFonts w:hint="eastAsia" w:ascii="楷体" w:hAnsi="楷体" w:eastAsia="楷体"/>
          <w:color w:val="auto"/>
          <w:sz w:val="18"/>
        </w:rPr>
      </w:pPr>
    </w:p>
    <w:p>
      <w:pPr>
        <w:adjustRightInd w:val="0"/>
        <w:snapToGrid w:val="0"/>
        <w:jc w:val="right"/>
        <w:rPr>
          <w:rFonts w:hint="eastAsia" w:ascii="楷体" w:hAnsi="楷体" w:eastAsia="楷体"/>
          <w:b/>
          <w:color w:val="auto"/>
          <w:sz w:val="24"/>
          <w:szCs w:val="28"/>
        </w:rPr>
      </w:pPr>
      <w:bookmarkStart w:id="3" w:name="OLE_LINK7"/>
      <w:r>
        <w:rPr>
          <w:rFonts w:hint="eastAsia" w:ascii="楷体" w:hAnsi="楷体" w:eastAsia="楷体"/>
          <w:b/>
          <w:color w:val="auto"/>
          <w:sz w:val="24"/>
          <w:szCs w:val="28"/>
        </w:rPr>
        <w:t>和信审字(202</w:t>
      </w:r>
      <w:r>
        <w:rPr>
          <w:rFonts w:ascii="楷体" w:hAnsi="楷体" w:eastAsia="楷体"/>
          <w:b/>
          <w:color w:val="auto"/>
          <w:sz w:val="24"/>
          <w:szCs w:val="28"/>
        </w:rPr>
        <w:t>3</w:t>
      </w:r>
      <w:r>
        <w:rPr>
          <w:rFonts w:hint="eastAsia" w:ascii="楷体" w:hAnsi="楷体" w:eastAsia="楷体"/>
          <w:b/>
          <w:color w:val="auto"/>
          <w:sz w:val="24"/>
          <w:szCs w:val="28"/>
        </w:rPr>
        <w:t>)第</w:t>
      </w:r>
      <w:r>
        <w:rPr>
          <w:rFonts w:ascii="楷体" w:hAnsi="楷体" w:eastAsia="楷体"/>
          <w:b/>
          <w:color w:val="auto"/>
          <w:sz w:val="24"/>
          <w:szCs w:val="28"/>
        </w:rPr>
        <w:t>000</w:t>
      </w:r>
      <w:r>
        <w:rPr>
          <w:rFonts w:hint="eastAsia" w:ascii="楷体" w:hAnsi="楷体" w:eastAsia="楷体"/>
          <w:b/>
          <w:color w:val="auto"/>
          <w:sz w:val="24"/>
          <w:szCs w:val="28"/>
        </w:rPr>
        <w:t>254号</w:t>
      </w:r>
    </w:p>
    <w:bookmarkEnd w:id="3"/>
    <w:p>
      <w:pPr>
        <w:adjustRightInd w:val="0"/>
        <w:snapToGrid w:val="0"/>
        <w:jc w:val="center"/>
        <w:rPr>
          <w:rFonts w:hint="eastAsia" w:ascii="微软雅黑" w:hAnsi="微软雅黑" w:eastAsia="微软雅黑"/>
          <w:b/>
          <w:color w:val="auto"/>
          <w:sz w:val="24"/>
          <w:szCs w:val="28"/>
        </w:rPr>
      </w:pPr>
    </w:p>
    <w:p>
      <w:pPr>
        <w:pStyle w:val="7"/>
        <w:pBdr>
          <w:bottom w:val="none" w:color="auto" w:sz="0" w:space="0"/>
        </w:pBdr>
        <w:tabs>
          <w:tab w:val="clear" w:pos="4153"/>
          <w:tab w:val="clear" w:pos="8306"/>
        </w:tabs>
        <w:adjustRightInd w:val="0"/>
        <w:rPr>
          <w:rFonts w:hint="eastAsia" w:ascii="宋体" w:hAnsi="宋体"/>
          <w:color w:val="auto"/>
          <w:sz w:val="24"/>
          <w:szCs w:val="28"/>
        </w:rPr>
      </w:pPr>
    </w:p>
    <w:p>
      <w:pPr>
        <w:adjustRightInd w:val="0"/>
        <w:snapToGrid w:val="0"/>
        <w:spacing w:before="209" w:beforeLines="50" w:line="360" w:lineRule="auto"/>
        <w:rPr>
          <w:rFonts w:ascii="宋体" w:hAnsi="宋体"/>
          <w:b/>
          <w:bCs/>
          <w:color w:val="auto"/>
          <w:sz w:val="28"/>
          <w:szCs w:val="28"/>
        </w:rPr>
      </w:pPr>
      <w:r>
        <w:rPr>
          <w:rFonts w:hint="eastAsia" w:ascii="宋体" w:hAnsi="宋体"/>
          <w:b/>
          <w:bCs/>
          <w:color w:val="auto"/>
          <w:sz w:val="28"/>
          <w:szCs w:val="28"/>
        </w:rPr>
        <w:t>青岛伟隆阀门股份有限公司全体股东：</w:t>
      </w:r>
    </w:p>
    <w:p>
      <w:pPr>
        <w:adjustRightInd w:val="0"/>
        <w:snapToGrid w:val="0"/>
        <w:spacing w:before="209" w:beforeLines="50" w:line="360" w:lineRule="auto"/>
        <w:ind w:firstLine="480" w:firstLineChars="200"/>
        <w:rPr>
          <w:rFonts w:hint="eastAsia" w:ascii="宋体" w:hAnsi="宋体"/>
          <w:b/>
          <w:color w:val="auto"/>
          <w:sz w:val="24"/>
          <w:szCs w:val="28"/>
        </w:rPr>
      </w:pPr>
      <w:r>
        <w:rPr>
          <w:rFonts w:hint="eastAsia" w:ascii="宋体" w:hAnsi="宋体"/>
          <w:b/>
          <w:color w:val="auto"/>
          <w:sz w:val="24"/>
          <w:szCs w:val="28"/>
        </w:rPr>
        <w:t>一、审计意见</w:t>
      </w:r>
    </w:p>
    <w:p>
      <w:pPr>
        <w:adjustRightInd w:val="0"/>
        <w:snapToGrid w:val="0"/>
        <w:spacing w:before="134" w:beforeLines="32" w:line="360" w:lineRule="auto"/>
        <w:ind w:firstLine="480" w:firstLineChars="200"/>
        <w:rPr>
          <w:rFonts w:hint="eastAsia" w:ascii="宋体" w:hAnsi="宋体"/>
          <w:color w:val="auto"/>
          <w:sz w:val="24"/>
          <w:szCs w:val="28"/>
        </w:rPr>
      </w:pPr>
      <w:r>
        <w:rPr>
          <w:rFonts w:hint="eastAsia" w:ascii="宋体" w:hAnsi="宋体"/>
          <w:color w:val="auto"/>
          <w:sz w:val="24"/>
          <w:szCs w:val="28"/>
        </w:rPr>
        <w:t>我们审计了青岛伟隆阀门股份有限公司（以下简称伟隆公司）财务报表，包括202</w:t>
      </w:r>
      <w:r>
        <w:rPr>
          <w:rFonts w:ascii="宋体" w:hAnsi="宋体"/>
          <w:color w:val="auto"/>
          <w:sz w:val="24"/>
          <w:szCs w:val="28"/>
        </w:rPr>
        <w:t>2</w:t>
      </w:r>
      <w:r>
        <w:rPr>
          <w:rFonts w:hint="eastAsia" w:ascii="宋体" w:hAnsi="宋体"/>
          <w:color w:val="auto"/>
          <w:sz w:val="24"/>
          <w:szCs w:val="28"/>
        </w:rPr>
        <w:t>年12月31日的合并及公司资产负债表，</w:t>
      </w:r>
      <w:r>
        <w:rPr>
          <w:rFonts w:hint="eastAsia" w:ascii="宋体" w:hAnsi="宋体"/>
          <w:color w:val="auto"/>
          <w:sz w:val="24"/>
        </w:rPr>
        <w:t>202</w:t>
      </w:r>
      <w:r>
        <w:rPr>
          <w:rFonts w:ascii="宋体" w:hAnsi="宋体"/>
          <w:color w:val="auto"/>
          <w:sz w:val="24"/>
        </w:rPr>
        <w:t>2</w:t>
      </w:r>
      <w:r>
        <w:rPr>
          <w:rFonts w:hint="eastAsia" w:ascii="宋体" w:hAnsi="宋体"/>
          <w:color w:val="auto"/>
          <w:sz w:val="24"/>
        </w:rPr>
        <w:t>年度</w:t>
      </w:r>
      <w:r>
        <w:rPr>
          <w:rFonts w:hint="eastAsia" w:ascii="宋体" w:hAnsi="宋体"/>
          <w:color w:val="auto"/>
          <w:sz w:val="24"/>
          <w:szCs w:val="28"/>
        </w:rPr>
        <w:t>的合并及公司利润表、合并及公司现金流量表、合并及公司股东权益变动表以及相关财务报表附注。</w:t>
      </w:r>
    </w:p>
    <w:p>
      <w:pPr>
        <w:adjustRightInd w:val="0"/>
        <w:snapToGrid w:val="0"/>
        <w:spacing w:before="134" w:beforeLines="32" w:line="360" w:lineRule="auto"/>
        <w:ind w:firstLine="480" w:firstLineChars="200"/>
        <w:rPr>
          <w:rFonts w:hint="eastAsia" w:ascii="宋体" w:hAnsi="宋体"/>
          <w:color w:val="auto"/>
          <w:sz w:val="24"/>
          <w:szCs w:val="28"/>
        </w:rPr>
      </w:pPr>
      <w:r>
        <w:rPr>
          <w:rFonts w:hint="eastAsia" w:ascii="宋体" w:hAnsi="宋体"/>
          <w:color w:val="auto"/>
          <w:sz w:val="24"/>
          <w:szCs w:val="28"/>
        </w:rPr>
        <w:t>我们认为，后附的财务报表在所有重大方面按照企业会计准则的规定编制，公允反映了伟隆公司202</w:t>
      </w:r>
      <w:r>
        <w:rPr>
          <w:rFonts w:ascii="宋体" w:hAnsi="宋体"/>
          <w:color w:val="auto"/>
          <w:sz w:val="24"/>
          <w:szCs w:val="28"/>
        </w:rPr>
        <w:t>2</w:t>
      </w:r>
      <w:r>
        <w:rPr>
          <w:rFonts w:hint="eastAsia" w:ascii="宋体" w:hAnsi="宋体"/>
          <w:color w:val="auto"/>
          <w:sz w:val="24"/>
          <w:szCs w:val="28"/>
        </w:rPr>
        <w:t>年12月31日的合并及公司财务状况以及</w:t>
      </w:r>
      <w:r>
        <w:rPr>
          <w:rFonts w:hint="eastAsia" w:ascii="宋体" w:hAnsi="宋体"/>
          <w:color w:val="auto"/>
          <w:sz w:val="24"/>
        </w:rPr>
        <w:t>202</w:t>
      </w:r>
      <w:r>
        <w:rPr>
          <w:rFonts w:ascii="宋体" w:hAnsi="宋体"/>
          <w:color w:val="auto"/>
          <w:sz w:val="24"/>
        </w:rPr>
        <w:t>2</w:t>
      </w:r>
      <w:r>
        <w:rPr>
          <w:rFonts w:hint="eastAsia" w:ascii="宋体" w:hAnsi="宋体"/>
          <w:color w:val="auto"/>
          <w:sz w:val="24"/>
        </w:rPr>
        <w:t>年度</w:t>
      </w:r>
      <w:r>
        <w:rPr>
          <w:rFonts w:hint="eastAsia" w:ascii="宋体" w:hAnsi="宋体"/>
          <w:color w:val="auto"/>
          <w:sz w:val="24"/>
          <w:szCs w:val="28"/>
        </w:rPr>
        <w:t>的合并及公司经营成果和合并及公司现金流量。</w:t>
      </w:r>
    </w:p>
    <w:p>
      <w:pPr>
        <w:widowControl/>
        <w:spacing w:before="209" w:beforeLines="50" w:after="50" w:line="360" w:lineRule="auto"/>
        <w:ind w:firstLine="480" w:firstLineChars="200"/>
        <w:jc w:val="left"/>
        <w:rPr>
          <w:rFonts w:ascii="宋体" w:hAnsi="宋体" w:cs="宋体"/>
          <w:b/>
          <w:color w:val="auto"/>
          <w:kern w:val="0"/>
          <w:sz w:val="24"/>
          <w:szCs w:val="24"/>
        </w:rPr>
      </w:pPr>
      <w:r>
        <w:rPr>
          <w:rFonts w:hint="eastAsia" w:ascii="宋体" w:hAnsi="宋体" w:cs="宋体"/>
          <w:b/>
          <w:color w:val="auto"/>
          <w:kern w:val="0"/>
          <w:sz w:val="24"/>
          <w:szCs w:val="24"/>
        </w:rPr>
        <w:t>二、形成审计意见的基础</w:t>
      </w:r>
    </w:p>
    <w:p>
      <w:pPr>
        <w:adjustRightInd w:val="0"/>
        <w:snapToGrid w:val="0"/>
        <w:spacing w:before="83" w:beforeLines="20" w:line="360" w:lineRule="auto"/>
        <w:ind w:firstLine="480" w:firstLineChars="200"/>
        <w:rPr>
          <w:rFonts w:ascii="宋体" w:hAnsi="宋体"/>
          <w:color w:val="auto"/>
          <w:sz w:val="24"/>
          <w:szCs w:val="24"/>
        </w:rPr>
      </w:pPr>
      <w:r>
        <w:rPr>
          <w:rFonts w:hint="eastAsia" w:ascii="宋体" w:hAnsi="宋体"/>
          <w:color w:val="auto"/>
          <w:sz w:val="24"/>
          <w:szCs w:val="24"/>
        </w:rPr>
        <w:t>我们按照中国注册会计师审计准则的规定执行了审计工作。审计报告的“注册会计师对财务报表审计的责任”部分进一步阐述了我们在这些准则下的责任。按照中国注册会计师职业道德守则，我们独立于伟隆公司，并履行了职业道德方面的其他责任。我们相信，我们获取的审计证据是充分、适当的，为发表审计意见提供了基础。</w:t>
      </w:r>
    </w:p>
    <w:p>
      <w:pPr>
        <w:widowControl/>
        <w:spacing w:after="20" w:line="360" w:lineRule="auto"/>
        <w:ind w:firstLine="480" w:firstLineChars="200"/>
        <w:jc w:val="left"/>
        <w:rPr>
          <w:rFonts w:ascii="宋体" w:hAnsi="宋体" w:cs="宋体"/>
          <w:b/>
          <w:color w:val="auto"/>
          <w:kern w:val="0"/>
          <w:sz w:val="24"/>
          <w:szCs w:val="24"/>
        </w:rPr>
      </w:pPr>
      <w:r>
        <w:rPr>
          <w:rFonts w:hint="eastAsia" w:ascii="宋体" w:hAnsi="宋体" w:cs="宋体"/>
          <w:b/>
          <w:color w:val="auto"/>
          <w:kern w:val="0"/>
          <w:sz w:val="24"/>
          <w:szCs w:val="24"/>
        </w:rPr>
        <w:t>三、关键审计事项</w:t>
      </w:r>
    </w:p>
    <w:p>
      <w:pPr>
        <w:adjustRightInd w:val="0"/>
        <w:snapToGrid w:val="0"/>
        <w:spacing w:before="83" w:beforeLines="20" w:line="360" w:lineRule="auto"/>
        <w:ind w:firstLine="482"/>
        <w:rPr>
          <w:rFonts w:ascii="宋体" w:hAnsi="宋体" w:cs="Arial"/>
          <w:color w:val="auto"/>
          <w:sz w:val="24"/>
          <w:szCs w:val="24"/>
        </w:rPr>
      </w:pPr>
      <w:r>
        <w:rPr>
          <w:rFonts w:hint="eastAsia" w:ascii="宋体" w:hAnsi="宋体"/>
          <w:color w:val="auto"/>
          <w:sz w:val="24"/>
          <w:szCs w:val="24"/>
        </w:rPr>
        <w:t>关键审计事项是我们根据职业判断，认为对本期财务报表审计最为重要的事项。这些事项的应对以对财务报表整体进行审计并形成审计意见为背景，我们不对这些事项单独发表意见。</w:t>
      </w:r>
      <w:r>
        <w:rPr>
          <w:rFonts w:ascii="宋体" w:hAnsi="宋体" w:cs="Arial"/>
          <w:color w:val="auto"/>
          <w:sz w:val="24"/>
          <w:szCs w:val="24"/>
        </w:rPr>
        <w:t>我们确定下列事项是需要在审计报告中沟通的关键审计事项</w:t>
      </w:r>
      <w:r>
        <w:rPr>
          <w:rFonts w:hint="eastAsia" w:ascii="宋体" w:hAnsi="宋体" w:cs="Arial"/>
          <w:color w:val="auto"/>
          <w:sz w:val="24"/>
          <w:szCs w:val="24"/>
        </w:rPr>
        <w:t>：</w:t>
      </w:r>
    </w:p>
    <w:p>
      <w:pPr>
        <w:adjustRightInd w:val="0"/>
        <w:snapToGrid w:val="0"/>
        <w:spacing w:before="83" w:beforeLines="20" w:line="360" w:lineRule="auto"/>
        <w:ind w:firstLine="480" w:firstLineChars="200"/>
        <w:rPr>
          <w:rFonts w:hint="eastAsia" w:ascii="宋体" w:hAnsi="宋体"/>
          <w:b/>
          <w:color w:val="auto"/>
          <w:sz w:val="24"/>
          <w:szCs w:val="28"/>
        </w:rPr>
      </w:pPr>
      <w:bookmarkStart w:id="4" w:name="OLE_LINK5"/>
      <w:r>
        <w:rPr>
          <w:rFonts w:hint="eastAsia" w:ascii="宋体" w:hAnsi="宋体"/>
          <w:b/>
          <w:color w:val="auto"/>
          <w:sz w:val="24"/>
          <w:szCs w:val="28"/>
        </w:rPr>
        <w:t>（一）外销出口收入确认</w:t>
      </w:r>
    </w:p>
    <w:p>
      <w:pPr>
        <w:adjustRightInd w:val="0"/>
        <w:snapToGrid w:val="0"/>
        <w:spacing w:before="83" w:beforeLines="20" w:line="360" w:lineRule="auto"/>
        <w:ind w:firstLine="480" w:firstLineChars="200"/>
        <w:rPr>
          <w:rFonts w:hint="eastAsia" w:ascii="宋体" w:hAnsi="宋体"/>
          <w:color w:val="auto"/>
          <w:sz w:val="24"/>
          <w:szCs w:val="28"/>
        </w:rPr>
      </w:pPr>
      <w:r>
        <w:rPr>
          <w:rFonts w:hint="eastAsia" w:ascii="宋体" w:hAnsi="宋体"/>
          <w:color w:val="auto"/>
          <w:sz w:val="24"/>
          <w:szCs w:val="28"/>
        </w:rPr>
        <w:t>1、事项描述</w:t>
      </w:r>
    </w:p>
    <w:p>
      <w:pPr>
        <w:adjustRightInd w:val="0"/>
        <w:snapToGrid w:val="0"/>
        <w:spacing w:before="83" w:beforeLines="20" w:line="360" w:lineRule="auto"/>
        <w:ind w:firstLine="480" w:firstLineChars="200"/>
        <w:rPr>
          <w:rFonts w:ascii="宋体" w:hAnsi="宋体"/>
          <w:color w:val="auto"/>
          <w:sz w:val="24"/>
          <w:szCs w:val="24"/>
        </w:rPr>
      </w:pPr>
      <w:bookmarkStart w:id="5" w:name="OLE_LINK8"/>
      <w:bookmarkStart w:id="6" w:name="OLE_LINK9"/>
      <w:bookmarkStart w:id="7" w:name="OLE_LINK2"/>
      <w:bookmarkStart w:id="8" w:name="OLE_LINK1"/>
      <w:r>
        <w:rPr>
          <w:rFonts w:hint="eastAsia" w:ascii="宋体" w:hAnsi="宋体"/>
          <w:color w:val="auto"/>
          <w:sz w:val="24"/>
          <w:szCs w:val="24"/>
        </w:rPr>
        <w:t>202</w:t>
      </w:r>
      <w:r>
        <w:rPr>
          <w:rFonts w:ascii="宋体" w:hAnsi="宋体"/>
          <w:color w:val="auto"/>
          <w:sz w:val="24"/>
          <w:szCs w:val="24"/>
        </w:rPr>
        <w:t>2</w:t>
      </w:r>
      <w:r>
        <w:rPr>
          <w:rFonts w:hint="eastAsia" w:ascii="宋体" w:hAnsi="宋体"/>
          <w:color w:val="auto"/>
          <w:sz w:val="24"/>
          <w:szCs w:val="24"/>
        </w:rPr>
        <w:t>年度伟隆公司营业收入总额</w:t>
      </w:r>
      <w:r>
        <w:rPr>
          <w:rFonts w:ascii="宋体" w:hAnsi="宋体"/>
          <w:color w:val="auto"/>
          <w:sz w:val="24"/>
          <w:szCs w:val="24"/>
        </w:rPr>
        <w:t>54,</w:t>
      </w:r>
      <w:r>
        <w:rPr>
          <w:rFonts w:hint="eastAsia" w:ascii="宋体" w:hAnsi="宋体"/>
          <w:color w:val="auto"/>
          <w:sz w:val="24"/>
          <w:szCs w:val="24"/>
        </w:rPr>
        <w:t>014</w:t>
      </w:r>
      <w:r>
        <w:rPr>
          <w:rFonts w:ascii="宋体" w:hAnsi="宋体"/>
          <w:color w:val="auto"/>
          <w:sz w:val="24"/>
          <w:szCs w:val="24"/>
        </w:rPr>
        <w:t>.</w:t>
      </w:r>
      <w:r>
        <w:rPr>
          <w:rFonts w:hint="eastAsia" w:ascii="宋体" w:hAnsi="宋体"/>
          <w:color w:val="auto"/>
          <w:sz w:val="24"/>
          <w:szCs w:val="24"/>
        </w:rPr>
        <w:t>16</w:t>
      </w:r>
      <w:r>
        <w:rPr>
          <w:rFonts w:ascii="宋体" w:hAnsi="宋体"/>
          <w:color w:val="auto"/>
          <w:sz w:val="24"/>
          <w:szCs w:val="24"/>
        </w:rPr>
        <w:t>万</w:t>
      </w:r>
      <w:r>
        <w:rPr>
          <w:rFonts w:hint="eastAsia" w:ascii="宋体" w:hAnsi="宋体"/>
          <w:color w:val="auto"/>
          <w:sz w:val="24"/>
          <w:szCs w:val="24"/>
        </w:rPr>
        <w:t>元，其中外销出口收入为</w:t>
      </w:r>
      <w:r>
        <w:rPr>
          <w:rFonts w:ascii="宋体" w:hAnsi="宋体"/>
          <w:color w:val="auto"/>
          <w:sz w:val="24"/>
          <w:szCs w:val="24"/>
        </w:rPr>
        <w:t>46,550.52万</w:t>
      </w:r>
      <w:r>
        <w:rPr>
          <w:rFonts w:hint="eastAsia" w:ascii="宋体" w:hAnsi="宋体"/>
          <w:color w:val="auto"/>
          <w:sz w:val="24"/>
          <w:szCs w:val="24"/>
        </w:rPr>
        <w:t>元，占营业收入总额的</w:t>
      </w:r>
      <w:r>
        <w:rPr>
          <w:rFonts w:ascii="宋体" w:hAnsi="宋体"/>
          <w:color w:val="auto"/>
          <w:sz w:val="24"/>
          <w:szCs w:val="24"/>
        </w:rPr>
        <w:t>8</w:t>
      </w:r>
      <w:r>
        <w:rPr>
          <w:rFonts w:hint="eastAsia" w:ascii="宋体" w:hAnsi="宋体"/>
          <w:color w:val="auto"/>
          <w:sz w:val="24"/>
          <w:szCs w:val="24"/>
        </w:rPr>
        <w:t>6.18</w:t>
      </w:r>
      <w:r>
        <w:rPr>
          <w:rFonts w:ascii="宋体" w:hAnsi="宋体"/>
          <w:color w:val="auto"/>
          <w:sz w:val="24"/>
          <w:szCs w:val="24"/>
        </w:rPr>
        <w:t>%</w:t>
      </w:r>
      <w:r>
        <w:rPr>
          <w:rFonts w:hint="eastAsia" w:ascii="宋体" w:hAnsi="宋体"/>
          <w:color w:val="auto"/>
          <w:sz w:val="24"/>
          <w:szCs w:val="24"/>
        </w:rPr>
        <w:t>，外销出口收入金额占营业收入总额的比例较高，</w:t>
      </w:r>
      <w:r>
        <w:rPr>
          <w:rFonts w:hint="eastAsia" w:ascii="宋体" w:hAnsi="Calibri" w:cs="宋体"/>
          <w:color w:val="auto"/>
          <w:kern w:val="0"/>
          <w:sz w:val="24"/>
          <w:szCs w:val="24"/>
        </w:rPr>
        <w:t>所以外销出口收入的确认对报表产生重要影响，</w:t>
      </w:r>
      <w:bookmarkEnd w:id="5"/>
      <w:bookmarkEnd w:id="6"/>
      <w:r>
        <w:rPr>
          <w:rFonts w:hint="eastAsia" w:ascii="宋体" w:hAnsi="Calibri" w:cs="宋体"/>
          <w:color w:val="auto"/>
          <w:kern w:val="0"/>
          <w:sz w:val="24"/>
          <w:szCs w:val="24"/>
        </w:rPr>
        <w:t>因此我们将外销出口收入的确认</w:t>
      </w:r>
      <w:r>
        <w:rPr>
          <w:rFonts w:hint="eastAsia" w:ascii="宋体" w:hAnsi="宋体" w:cs="宋体"/>
          <w:color w:val="auto"/>
          <w:kern w:val="0"/>
          <w:sz w:val="24"/>
          <w:szCs w:val="24"/>
        </w:rPr>
        <w:t>识别</w:t>
      </w:r>
      <w:r>
        <w:rPr>
          <w:rFonts w:hint="eastAsia" w:ascii="宋体" w:hAnsi="Calibri" w:cs="宋体"/>
          <w:color w:val="auto"/>
          <w:kern w:val="0"/>
          <w:sz w:val="24"/>
          <w:szCs w:val="24"/>
        </w:rPr>
        <w:t>为关键审计事项。</w:t>
      </w:r>
    </w:p>
    <w:p>
      <w:pPr>
        <w:autoSpaceDE w:val="0"/>
        <w:autoSpaceDN w:val="0"/>
        <w:adjustRightInd w:val="0"/>
        <w:snapToGrid w:val="0"/>
        <w:spacing w:before="83" w:beforeLines="20" w:line="360" w:lineRule="auto"/>
        <w:ind w:firstLine="470" w:firstLineChars="196"/>
        <w:jc w:val="left"/>
        <w:rPr>
          <w:rFonts w:ascii="宋体" w:hAnsi="Calibri" w:cs="宋体"/>
          <w:color w:val="auto"/>
          <w:kern w:val="0"/>
          <w:sz w:val="24"/>
          <w:szCs w:val="24"/>
        </w:rPr>
      </w:pPr>
      <w:r>
        <w:rPr>
          <w:rFonts w:hint="eastAsia" w:ascii="宋体" w:hAnsi="Calibri" w:cs="宋体"/>
          <w:color w:val="auto"/>
          <w:kern w:val="0"/>
          <w:sz w:val="24"/>
          <w:szCs w:val="24"/>
        </w:rPr>
        <w:t>关于外销出口收入确认的会计政策见附注三、（三十三）；关于收入类别的披露见附注五、34。</w:t>
      </w:r>
    </w:p>
    <w:bookmarkEnd w:id="7"/>
    <w:bookmarkEnd w:id="8"/>
    <w:p>
      <w:pPr>
        <w:adjustRightInd w:val="0"/>
        <w:snapToGrid w:val="0"/>
        <w:spacing w:before="83" w:beforeLines="20" w:line="360" w:lineRule="auto"/>
        <w:ind w:firstLine="480" w:firstLineChars="200"/>
        <w:rPr>
          <w:rFonts w:hint="eastAsia" w:ascii="宋体" w:hAnsi="宋体"/>
          <w:color w:val="auto"/>
          <w:sz w:val="24"/>
          <w:szCs w:val="24"/>
        </w:rPr>
      </w:pPr>
      <w:r>
        <w:rPr>
          <w:rFonts w:hint="eastAsia" w:ascii="宋体" w:hAnsi="宋体"/>
          <w:color w:val="auto"/>
          <w:sz w:val="24"/>
          <w:szCs w:val="24"/>
        </w:rPr>
        <w:t>2、审计应对</w:t>
      </w:r>
    </w:p>
    <w:p>
      <w:pPr>
        <w:autoSpaceDE w:val="0"/>
        <w:autoSpaceDN w:val="0"/>
        <w:adjustRightInd w:val="0"/>
        <w:snapToGrid w:val="0"/>
        <w:spacing w:before="83" w:beforeLines="20" w:line="360" w:lineRule="auto"/>
        <w:ind w:firstLine="470" w:firstLineChars="196"/>
        <w:jc w:val="left"/>
        <w:rPr>
          <w:rFonts w:hint="eastAsia" w:ascii="宋体" w:hAnsi="宋体"/>
          <w:color w:val="auto"/>
          <w:sz w:val="24"/>
          <w:szCs w:val="24"/>
        </w:rPr>
      </w:pPr>
      <w:bookmarkStart w:id="9" w:name="OLE_LINK11"/>
      <w:bookmarkStart w:id="10" w:name="OLE_LINK10"/>
      <w:r>
        <w:rPr>
          <w:rFonts w:hint="eastAsia" w:ascii="宋体" w:hAnsi="宋体" w:cs="宋体"/>
          <w:color w:val="auto"/>
          <w:kern w:val="0"/>
          <w:sz w:val="24"/>
          <w:szCs w:val="24"/>
        </w:rPr>
        <w:t>（</w:t>
      </w:r>
      <w:r>
        <w:rPr>
          <w:rFonts w:ascii="宋体" w:hAnsi="宋体" w:cs="宋体"/>
          <w:color w:val="auto"/>
          <w:kern w:val="0"/>
          <w:sz w:val="24"/>
          <w:szCs w:val="24"/>
        </w:rPr>
        <w:t>1</w:t>
      </w:r>
      <w:r>
        <w:rPr>
          <w:rFonts w:hint="eastAsia" w:ascii="宋体" w:hAnsi="宋体" w:cs="宋体"/>
          <w:color w:val="auto"/>
          <w:kern w:val="0"/>
          <w:sz w:val="24"/>
          <w:szCs w:val="24"/>
        </w:rPr>
        <w:t>）</w:t>
      </w:r>
      <w:r>
        <w:rPr>
          <w:rFonts w:ascii="宋体" w:hAnsi="宋体"/>
          <w:color w:val="auto"/>
          <w:sz w:val="24"/>
          <w:szCs w:val="24"/>
        </w:rPr>
        <w:t>了解</w:t>
      </w:r>
      <w:r>
        <w:rPr>
          <w:rFonts w:hint="eastAsia" w:ascii="宋体" w:hAnsi="宋体"/>
          <w:color w:val="auto"/>
          <w:sz w:val="24"/>
          <w:szCs w:val="24"/>
        </w:rPr>
        <w:t>、</w:t>
      </w:r>
      <w:r>
        <w:rPr>
          <w:rFonts w:ascii="宋体" w:hAnsi="宋体"/>
          <w:color w:val="auto"/>
          <w:sz w:val="24"/>
          <w:szCs w:val="24"/>
        </w:rPr>
        <w:t>评价并测试管理层与外销收入确认相关的关键内部控制的设计和运行有效性；</w:t>
      </w:r>
    </w:p>
    <w:p>
      <w:pPr>
        <w:autoSpaceDE w:val="0"/>
        <w:autoSpaceDN w:val="0"/>
        <w:adjustRightInd w:val="0"/>
        <w:snapToGrid w:val="0"/>
        <w:spacing w:before="83" w:beforeLines="20" w:line="360" w:lineRule="auto"/>
        <w:ind w:firstLine="470" w:firstLineChars="196"/>
        <w:jc w:val="left"/>
        <w:rPr>
          <w:rFonts w:hint="eastAsia" w:ascii="宋体" w:hAnsi="宋体" w:cs="宋体"/>
          <w:color w:val="auto"/>
          <w:kern w:val="0"/>
          <w:sz w:val="24"/>
          <w:szCs w:val="24"/>
        </w:rPr>
      </w:pPr>
      <w:r>
        <w:rPr>
          <w:rFonts w:hint="eastAsia" w:ascii="宋体" w:hAnsi="宋体" w:cs="宋体"/>
          <w:color w:val="auto"/>
          <w:kern w:val="0"/>
          <w:sz w:val="24"/>
          <w:szCs w:val="24"/>
        </w:rPr>
        <w:t>（2）抽样检查外销销售订单，对与外销产品收入确认有关的控制权转移时点进行分析</w:t>
      </w:r>
      <w:r>
        <w:rPr>
          <w:rFonts w:ascii="宋体" w:hAnsi="宋体"/>
          <w:color w:val="auto"/>
          <w:sz w:val="24"/>
          <w:szCs w:val="24"/>
        </w:rPr>
        <w:t>，评价公司的外销收入确认时点是否符合企业会计准则的要求；</w:t>
      </w:r>
    </w:p>
    <w:p>
      <w:pPr>
        <w:autoSpaceDE w:val="0"/>
        <w:autoSpaceDN w:val="0"/>
        <w:adjustRightInd w:val="0"/>
        <w:snapToGrid w:val="0"/>
        <w:spacing w:before="83" w:beforeLines="20" w:line="360" w:lineRule="auto"/>
        <w:ind w:firstLine="480" w:firstLineChars="200"/>
        <w:jc w:val="left"/>
        <w:rPr>
          <w:rFonts w:hint="eastAsia" w:ascii="宋体" w:hAnsi="宋体"/>
          <w:color w:val="auto"/>
          <w:sz w:val="24"/>
          <w:szCs w:val="24"/>
        </w:rPr>
      </w:pPr>
      <w:r>
        <w:rPr>
          <w:rFonts w:hint="eastAsia" w:ascii="宋体" w:hAnsi="宋体" w:cs="宋体"/>
          <w:color w:val="auto"/>
          <w:kern w:val="0"/>
          <w:sz w:val="24"/>
          <w:szCs w:val="24"/>
        </w:rPr>
        <w:t>（</w:t>
      </w:r>
      <w:r>
        <w:rPr>
          <w:rFonts w:hint="eastAsia" w:ascii="宋体" w:hAnsi="宋体"/>
          <w:color w:val="auto"/>
          <w:kern w:val="0"/>
          <w:sz w:val="24"/>
          <w:szCs w:val="24"/>
        </w:rPr>
        <w:t>3</w:t>
      </w:r>
      <w:r>
        <w:rPr>
          <w:rFonts w:hint="eastAsia" w:ascii="宋体" w:hAnsi="宋体" w:cs="宋体"/>
          <w:color w:val="auto"/>
          <w:kern w:val="0"/>
          <w:sz w:val="24"/>
          <w:szCs w:val="24"/>
        </w:rPr>
        <w:t>）抽样选取部分订单、发票、报关单、提单等与收入确认相关的支持性文件与账面记录进行核对，评价外销收入确认是否与公司的会计政策一致；</w:t>
      </w:r>
    </w:p>
    <w:p>
      <w:pPr>
        <w:autoSpaceDE w:val="0"/>
        <w:autoSpaceDN w:val="0"/>
        <w:adjustRightInd w:val="0"/>
        <w:snapToGrid w:val="0"/>
        <w:spacing w:before="83" w:beforeLines="20" w:line="360" w:lineRule="auto"/>
        <w:ind w:firstLine="470" w:firstLineChars="196"/>
        <w:jc w:val="left"/>
        <w:rPr>
          <w:rFonts w:hint="eastAsia" w:ascii="宋体" w:hAnsi="宋体" w:cs="宋体"/>
          <w:color w:val="auto"/>
          <w:kern w:val="0"/>
          <w:sz w:val="24"/>
          <w:szCs w:val="24"/>
        </w:rPr>
      </w:pPr>
      <w:r>
        <w:rPr>
          <w:rFonts w:hint="eastAsia" w:ascii="宋体" w:hAnsi="宋体" w:cs="宋体"/>
          <w:color w:val="auto"/>
          <w:kern w:val="0"/>
          <w:sz w:val="24"/>
          <w:szCs w:val="24"/>
        </w:rPr>
        <w:t>（4）执行分析性复核程序，包括分析外销主要产品年度及月度收入、主要客户的变化及销售价格、毛利率的变动，针对异常波动查明原因；</w:t>
      </w:r>
    </w:p>
    <w:p>
      <w:pPr>
        <w:autoSpaceDE w:val="0"/>
        <w:autoSpaceDN w:val="0"/>
        <w:adjustRightInd w:val="0"/>
        <w:snapToGrid w:val="0"/>
        <w:spacing w:before="83" w:beforeLines="20" w:line="360" w:lineRule="auto"/>
        <w:ind w:firstLine="470" w:firstLineChars="196"/>
        <w:jc w:val="left"/>
        <w:rPr>
          <w:rFonts w:hint="eastAsia" w:ascii="宋体" w:hAnsi="宋体" w:cs="宋体"/>
          <w:color w:val="auto"/>
          <w:kern w:val="0"/>
          <w:sz w:val="24"/>
          <w:szCs w:val="24"/>
        </w:rPr>
      </w:pPr>
      <w:r>
        <w:rPr>
          <w:rFonts w:hint="eastAsia" w:ascii="宋体" w:hAnsi="宋体" w:cs="宋体"/>
          <w:color w:val="auto"/>
          <w:kern w:val="0"/>
          <w:sz w:val="24"/>
          <w:szCs w:val="24"/>
        </w:rPr>
        <w:t>（5）</w:t>
      </w:r>
      <w:r>
        <w:rPr>
          <w:rFonts w:ascii="宋体" w:hAnsi="宋体" w:cs="宋体"/>
          <w:color w:val="auto"/>
          <w:kern w:val="0"/>
          <w:sz w:val="24"/>
          <w:szCs w:val="24"/>
        </w:rPr>
        <w:t>对外销出口收入执行截止测试，检查不同出口模式的</w:t>
      </w:r>
      <w:r>
        <w:rPr>
          <w:rFonts w:hint="eastAsia" w:ascii="宋体" w:hAnsi="宋体" w:cs="宋体"/>
          <w:color w:val="auto"/>
          <w:kern w:val="0"/>
          <w:sz w:val="24"/>
          <w:szCs w:val="24"/>
        </w:rPr>
        <w:t>支持性文件</w:t>
      </w:r>
      <w:r>
        <w:rPr>
          <w:rFonts w:ascii="宋体" w:hAnsi="宋体" w:cs="宋体"/>
          <w:color w:val="auto"/>
          <w:kern w:val="0"/>
          <w:sz w:val="24"/>
          <w:szCs w:val="24"/>
        </w:rPr>
        <w:t>日期，确认收入是否记录在恰当的会计期间</w:t>
      </w:r>
      <w:r>
        <w:rPr>
          <w:rFonts w:hint="eastAsia" w:ascii="宋体" w:hAnsi="宋体" w:cs="宋体"/>
          <w:color w:val="auto"/>
          <w:kern w:val="0"/>
          <w:sz w:val="24"/>
          <w:szCs w:val="24"/>
        </w:rPr>
        <w:t>；</w:t>
      </w:r>
    </w:p>
    <w:p>
      <w:pPr>
        <w:autoSpaceDE w:val="0"/>
        <w:autoSpaceDN w:val="0"/>
        <w:adjustRightInd w:val="0"/>
        <w:snapToGrid w:val="0"/>
        <w:spacing w:before="83" w:beforeLines="20" w:line="360" w:lineRule="auto"/>
        <w:ind w:firstLine="470" w:firstLineChars="196"/>
        <w:jc w:val="left"/>
        <w:rPr>
          <w:rFonts w:ascii="宋体" w:hAnsi="宋体" w:cs="宋体"/>
          <w:color w:val="auto"/>
          <w:kern w:val="0"/>
          <w:sz w:val="24"/>
          <w:szCs w:val="24"/>
        </w:rPr>
      </w:pPr>
      <w:r>
        <w:rPr>
          <w:rFonts w:hint="eastAsia" w:ascii="宋体" w:hAnsi="宋体" w:cs="宋体"/>
          <w:color w:val="auto"/>
          <w:kern w:val="0"/>
          <w:sz w:val="24"/>
          <w:szCs w:val="24"/>
        </w:rPr>
        <w:t>（6）查询海关电子口岸信息，将其记录出口销售收入金额与账面进行核对；</w:t>
      </w:r>
    </w:p>
    <w:p>
      <w:pPr>
        <w:autoSpaceDE w:val="0"/>
        <w:autoSpaceDN w:val="0"/>
        <w:adjustRightInd w:val="0"/>
        <w:snapToGrid w:val="0"/>
        <w:spacing w:before="83" w:beforeLines="20" w:line="360" w:lineRule="auto"/>
        <w:ind w:firstLine="470" w:firstLineChars="196"/>
        <w:jc w:val="left"/>
        <w:rPr>
          <w:rFonts w:hint="eastAsia" w:ascii="宋体" w:hAnsi="宋体" w:cs="宋体"/>
          <w:color w:val="auto"/>
          <w:kern w:val="0"/>
          <w:sz w:val="24"/>
          <w:szCs w:val="24"/>
        </w:rPr>
      </w:pPr>
      <w:r>
        <w:rPr>
          <w:rFonts w:hint="eastAsia" w:ascii="宋体" w:hAnsi="宋体" w:cs="宋体"/>
          <w:color w:val="auto"/>
          <w:kern w:val="0"/>
          <w:sz w:val="24"/>
          <w:szCs w:val="24"/>
        </w:rPr>
        <w:t>（</w:t>
      </w:r>
      <w:r>
        <w:rPr>
          <w:rFonts w:hint="eastAsia" w:ascii="宋体" w:hAnsi="宋体"/>
          <w:color w:val="auto"/>
          <w:kern w:val="0"/>
          <w:sz w:val="24"/>
          <w:szCs w:val="24"/>
        </w:rPr>
        <w:t>7</w:t>
      </w:r>
      <w:r>
        <w:rPr>
          <w:rFonts w:hint="eastAsia" w:ascii="宋体" w:hAnsi="宋体" w:cs="宋体"/>
          <w:color w:val="auto"/>
          <w:kern w:val="0"/>
          <w:sz w:val="24"/>
          <w:szCs w:val="24"/>
        </w:rPr>
        <w:t>）抽样选择主要外销客户进行函证</w:t>
      </w:r>
      <w:r>
        <w:rPr>
          <w:rFonts w:ascii="宋体" w:hAnsi="宋体" w:cs="宋体"/>
          <w:color w:val="auto"/>
          <w:kern w:val="0"/>
          <w:sz w:val="24"/>
          <w:szCs w:val="24"/>
        </w:rPr>
        <w:t>，询证</w:t>
      </w:r>
      <w:r>
        <w:rPr>
          <w:rFonts w:hint="eastAsia" w:ascii="宋体" w:hAnsi="宋体" w:cs="宋体"/>
          <w:color w:val="auto"/>
          <w:kern w:val="0"/>
          <w:sz w:val="24"/>
          <w:szCs w:val="24"/>
        </w:rPr>
        <w:t>资产负债表日</w:t>
      </w:r>
      <w:r>
        <w:rPr>
          <w:rFonts w:ascii="宋体" w:hAnsi="宋体" w:cs="宋体"/>
          <w:color w:val="auto"/>
          <w:kern w:val="0"/>
          <w:sz w:val="24"/>
          <w:szCs w:val="24"/>
        </w:rPr>
        <w:t>的应收账款余额及2022年度销售额</w:t>
      </w:r>
      <w:r>
        <w:rPr>
          <w:rFonts w:hint="eastAsia" w:ascii="宋体" w:hAnsi="宋体" w:cs="宋体"/>
          <w:color w:val="auto"/>
          <w:kern w:val="0"/>
          <w:sz w:val="24"/>
          <w:szCs w:val="24"/>
        </w:rPr>
        <w:t>。</w:t>
      </w:r>
    </w:p>
    <w:bookmarkEnd w:id="9"/>
    <w:bookmarkEnd w:id="10"/>
    <w:p>
      <w:pPr>
        <w:adjustRightInd w:val="0"/>
        <w:snapToGrid w:val="0"/>
        <w:spacing w:before="209" w:beforeLines="50" w:line="360" w:lineRule="auto"/>
        <w:ind w:firstLine="480" w:firstLineChars="200"/>
        <w:rPr>
          <w:rFonts w:hint="eastAsia" w:ascii="宋体" w:hAnsi="宋体"/>
          <w:b/>
          <w:color w:val="auto"/>
          <w:sz w:val="24"/>
          <w:szCs w:val="28"/>
        </w:rPr>
      </w:pPr>
      <w:r>
        <w:rPr>
          <w:rFonts w:hint="eastAsia" w:ascii="宋体" w:hAnsi="宋体"/>
          <w:b/>
          <w:color w:val="auto"/>
          <w:sz w:val="24"/>
          <w:szCs w:val="28"/>
        </w:rPr>
        <w:t>（二）应收账款减值</w:t>
      </w:r>
    </w:p>
    <w:p>
      <w:pPr>
        <w:adjustRightInd w:val="0"/>
        <w:snapToGrid w:val="0"/>
        <w:spacing w:before="209" w:beforeLines="50" w:line="360" w:lineRule="auto"/>
        <w:ind w:firstLine="480" w:firstLineChars="200"/>
        <w:rPr>
          <w:rFonts w:hint="eastAsia" w:ascii="宋体" w:hAnsi="宋体"/>
          <w:color w:val="auto"/>
          <w:sz w:val="24"/>
          <w:szCs w:val="28"/>
        </w:rPr>
      </w:pPr>
      <w:r>
        <w:rPr>
          <w:rFonts w:hint="eastAsia" w:ascii="宋体" w:hAnsi="宋体"/>
          <w:color w:val="auto"/>
          <w:sz w:val="24"/>
          <w:szCs w:val="28"/>
        </w:rPr>
        <w:t>1、事项描述</w:t>
      </w:r>
    </w:p>
    <w:p>
      <w:pPr>
        <w:autoSpaceDE w:val="0"/>
        <w:autoSpaceDN w:val="0"/>
        <w:adjustRightInd w:val="0"/>
        <w:snapToGrid w:val="0"/>
        <w:spacing w:before="50" w:line="360" w:lineRule="auto"/>
        <w:ind w:firstLine="480" w:firstLineChars="200"/>
        <w:jc w:val="left"/>
        <w:rPr>
          <w:rFonts w:hint="eastAsia" w:ascii="宋体" w:hAnsi="宋体" w:cs="Arial"/>
          <w:color w:val="auto"/>
          <w:sz w:val="24"/>
          <w:szCs w:val="24"/>
        </w:rPr>
      </w:pPr>
      <w:bookmarkStart w:id="11" w:name="OLE_LINK12"/>
      <w:r>
        <w:rPr>
          <w:rFonts w:ascii="宋体" w:hAnsi="宋体"/>
          <w:color w:val="auto"/>
          <w:kern w:val="0"/>
          <w:sz w:val="24"/>
          <w:szCs w:val="24"/>
        </w:rPr>
        <w:t>2022</w:t>
      </w:r>
      <w:r>
        <w:rPr>
          <w:rFonts w:hint="eastAsia" w:ascii="宋体" w:hAnsi="宋体" w:cs="宋体"/>
          <w:color w:val="auto"/>
          <w:kern w:val="0"/>
          <w:sz w:val="24"/>
          <w:szCs w:val="24"/>
        </w:rPr>
        <w:t>年</w:t>
      </w:r>
      <w:r>
        <w:rPr>
          <w:rFonts w:ascii="宋体" w:hAnsi="宋体"/>
          <w:color w:val="auto"/>
          <w:kern w:val="0"/>
          <w:sz w:val="24"/>
          <w:szCs w:val="24"/>
        </w:rPr>
        <w:t>12</w:t>
      </w:r>
      <w:r>
        <w:rPr>
          <w:rFonts w:hint="eastAsia" w:ascii="宋体" w:hAnsi="宋体" w:cs="宋体"/>
          <w:color w:val="auto"/>
          <w:kern w:val="0"/>
          <w:sz w:val="24"/>
          <w:szCs w:val="24"/>
        </w:rPr>
        <w:t>月</w:t>
      </w:r>
      <w:r>
        <w:rPr>
          <w:rFonts w:ascii="宋体" w:hAnsi="宋体"/>
          <w:color w:val="auto"/>
          <w:kern w:val="0"/>
          <w:sz w:val="24"/>
          <w:szCs w:val="24"/>
        </w:rPr>
        <w:t>31</w:t>
      </w:r>
      <w:r>
        <w:rPr>
          <w:rFonts w:hint="eastAsia" w:ascii="宋体" w:hAnsi="宋体" w:cs="宋体"/>
          <w:color w:val="auto"/>
          <w:kern w:val="0"/>
          <w:sz w:val="24"/>
          <w:szCs w:val="24"/>
        </w:rPr>
        <w:t>日，伟隆公司应收账款账面余额为8</w:t>
      </w:r>
      <w:r>
        <w:rPr>
          <w:rFonts w:ascii="宋体" w:hAnsi="宋体" w:cs="宋体"/>
          <w:color w:val="auto"/>
          <w:kern w:val="0"/>
          <w:sz w:val="24"/>
          <w:szCs w:val="24"/>
        </w:rPr>
        <w:t>,</w:t>
      </w:r>
      <w:r>
        <w:rPr>
          <w:rFonts w:hint="eastAsia" w:ascii="宋体" w:hAnsi="宋体" w:cs="宋体"/>
          <w:color w:val="auto"/>
          <w:kern w:val="0"/>
          <w:sz w:val="24"/>
          <w:szCs w:val="24"/>
        </w:rPr>
        <w:t>80</w:t>
      </w:r>
      <w:r>
        <w:rPr>
          <w:rFonts w:ascii="宋体" w:hAnsi="宋体" w:cs="宋体"/>
          <w:color w:val="auto"/>
          <w:kern w:val="0"/>
          <w:sz w:val="24"/>
          <w:szCs w:val="24"/>
        </w:rPr>
        <w:t>1.</w:t>
      </w:r>
      <w:r>
        <w:rPr>
          <w:rFonts w:hint="eastAsia" w:ascii="宋体" w:hAnsi="宋体" w:cs="宋体"/>
          <w:color w:val="auto"/>
          <w:kern w:val="0"/>
          <w:sz w:val="24"/>
          <w:szCs w:val="24"/>
        </w:rPr>
        <w:t>49</w:t>
      </w:r>
      <w:r>
        <w:rPr>
          <w:rFonts w:ascii="宋体" w:hAnsi="宋体" w:cs="宋体"/>
          <w:color w:val="auto"/>
          <w:kern w:val="0"/>
          <w:sz w:val="24"/>
          <w:szCs w:val="24"/>
        </w:rPr>
        <w:t>万</w:t>
      </w:r>
      <w:r>
        <w:rPr>
          <w:rFonts w:hint="eastAsia" w:ascii="宋体" w:hAnsi="宋体" w:cs="宋体"/>
          <w:color w:val="auto"/>
          <w:kern w:val="0"/>
          <w:sz w:val="24"/>
          <w:szCs w:val="24"/>
        </w:rPr>
        <w:t>元，坏账</w:t>
      </w:r>
      <w:r>
        <w:rPr>
          <w:rFonts w:hint="eastAsia" w:ascii="宋体" w:hAnsi="宋体"/>
          <w:color w:val="auto"/>
          <w:kern w:val="0"/>
          <w:sz w:val="24"/>
          <w:szCs w:val="24"/>
        </w:rPr>
        <w:t>准</w:t>
      </w:r>
      <w:r>
        <w:rPr>
          <w:rFonts w:hint="eastAsia" w:ascii="宋体" w:hAnsi="宋体" w:cs="宋体"/>
          <w:color w:val="auto"/>
          <w:kern w:val="0"/>
          <w:sz w:val="24"/>
          <w:szCs w:val="24"/>
        </w:rPr>
        <w:t>备为835</w:t>
      </w:r>
      <w:r>
        <w:rPr>
          <w:rFonts w:ascii="宋体" w:hAnsi="宋体" w:cs="宋体"/>
          <w:color w:val="auto"/>
          <w:kern w:val="0"/>
          <w:sz w:val="24"/>
          <w:szCs w:val="24"/>
        </w:rPr>
        <w:t>.</w:t>
      </w:r>
      <w:r>
        <w:rPr>
          <w:rFonts w:hint="eastAsia" w:ascii="宋体" w:hAnsi="宋体" w:cs="宋体"/>
          <w:color w:val="auto"/>
          <w:kern w:val="0"/>
          <w:sz w:val="24"/>
          <w:szCs w:val="24"/>
        </w:rPr>
        <w:t>68</w:t>
      </w:r>
      <w:r>
        <w:rPr>
          <w:rFonts w:ascii="宋体" w:hAnsi="宋体" w:cs="宋体"/>
          <w:color w:val="auto"/>
          <w:kern w:val="0"/>
          <w:sz w:val="24"/>
          <w:szCs w:val="24"/>
        </w:rPr>
        <w:t>万</w:t>
      </w:r>
      <w:r>
        <w:rPr>
          <w:rFonts w:hint="eastAsia" w:ascii="宋体" w:hAnsi="宋体" w:cs="宋体"/>
          <w:color w:val="auto"/>
          <w:kern w:val="0"/>
          <w:sz w:val="24"/>
          <w:szCs w:val="24"/>
        </w:rPr>
        <w:t>元。</w:t>
      </w:r>
      <w:bookmarkStart w:id="12" w:name="OLE_LINK6"/>
    </w:p>
    <w:p>
      <w:pPr>
        <w:autoSpaceDE w:val="0"/>
        <w:autoSpaceDN w:val="0"/>
        <w:adjustRightInd w:val="0"/>
        <w:snapToGrid w:val="0"/>
        <w:spacing w:before="50" w:line="360" w:lineRule="auto"/>
        <w:ind w:firstLine="480" w:firstLineChars="200"/>
        <w:jc w:val="left"/>
        <w:rPr>
          <w:rFonts w:hint="eastAsia" w:ascii="宋体" w:hAnsi="宋体"/>
          <w:color w:val="auto"/>
          <w:kern w:val="0"/>
          <w:sz w:val="24"/>
          <w:szCs w:val="24"/>
        </w:rPr>
      </w:pPr>
      <w:r>
        <w:rPr>
          <w:rFonts w:hint="eastAsia" w:ascii="宋体" w:hAnsi="宋体" w:cs="宋体"/>
          <w:color w:val="auto"/>
          <w:kern w:val="0"/>
          <w:sz w:val="24"/>
          <w:szCs w:val="24"/>
        </w:rPr>
        <w:t>由于应收账款减值涉及</w:t>
      </w:r>
      <w:r>
        <w:rPr>
          <w:rFonts w:hint="eastAsia" w:ascii="宋体" w:hAnsi="宋体"/>
          <w:color w:val="auto"/>
          <w:sz w:val="24"/>
          <w:szCs w:val="24"/>
        </w:rPr>
        <w:t>伟隆公司管理层（以下简称管理层）</w:t>
      </w:r>
      <w:r>
        <w:rPr>
          <w:rFonts w:hint="eastAsia" w:ascii="宋体" w:hAnsi="宋体" w:cs="宋体"/>
          <w:color w:val="auto"/>
          <w:kern w:val="0"/>
          <w:sz w:val="24"/>
          <w:szCs w:val="24"/>
        </w:rPr>
        <w:t>运用重大会计估计和判断，且应收账款减值对于财务报表具有重要性</w:t>
      </w:r>
      <w:bookmarkEnd w:id="11"/>
      <w:bookmarkEnd w:id="12"/>
      <w:r>
        <w:rPr>
          <w:rFonts w:hint="eastAsia" w:ascii="宋体" w:hAnsi="宋体" w:cs="宋体"/>
          <w:color w:val="auto"/>
          <w:kern w:val="0"/>
          <w:sz w:val="24"/>
          <w:szCs w:val="24"/>
        </w:rPr>
        <w:t>，因此我们将应收账款减值识别为关键审计事项。</w:t>
      </w:r>
    </w:p>
    <w:p>
      <w:pPr>
        <w:adjustRightInd w:val="0"/>
        <w:snapToGrid w:val="0"/>
        <w:spacing w:before="209" w:beforeLines="50" w:line="360" w:lineRule="auto"/>
        <w:ind w:firstLine="480" w:firstLineChars="200"/>
        <w:rPr>
          <w:rFonts w:hint="eastAsia" w:ascii="宋体" w:hAnsi="宋体"/>
          <w:color w:val="auto"/>
          <w:sz w:val="24"/>
          <w:szCs w:val="24"/>
        </w:rPr>
      </w:pPr>
      <w:r>
        <w:rPr>
          <w:rFonts w:hint="eastAsia" w:ascii="宋体" w:hAnsi="宋体"/>
          <w:color w:val="auto"/>
          <w:sz w:val="24"/>
          <w:szCs w:val="24"/>
        </w:rPr>
        <w:t>2、审计应对</w:t>
      </w:r>
    </w:p>
    <w:bookmarkEnd w:id="4"/>
    <w:p>
      <w:pPr>
        <w:adjustRightInd w:val="0"/>
        <w:snapToGrid w:val="0"/>
        <w:spacing w:line="360" w:lineRule="auto"/>
        <w:ind w:firstLine="480" w:firstLineChars="200"/>
        <w:rPr>
          <w:rFonts w:hint="eastAsia" w:ascii="宋体" w:hAnsi="宋体"/>
          <w:color w:val="auto"/>
          <w:sz w:val="24"/>
          <w:szCs w:val="28"/>
        </w:rPr>
      </w:pPr>
      <w:r>
        <w:rPr>
          <w:rFonts w:hint="eastAsia" w:ascii="宋体" w:hAnsi="宋体"/>
          <w:color w:val="auto"/>
          <w:sz w:val="24"/>
          <w:szCs w:val="28"/>
        </w:rPr>
        <w:t>（1）了解与应收账款减值相关的关键内部控制，评价这些控制的设计，确定其是否得到执行，并测试相关内部控制的</w:t>
      </w:r>
      <w:r>
        <w:rPr>
          <w:rFonts w:hint="eastAsia" w:ascii="宋体" w:hAnsi="宋体" w:cs="宋体"/>
          <w:color w:val="auto"/>
          <w:kern w:val="0"/>
          <w:sz w:val="24"/>
          <w:szCs w:val="24"/>
        </w:rPr>
        <w:t>执行</w:t>
      </w:r>
      <w:r>
        <w:rPr>
          <w:rFonts w:hint="eastAsia" w:ascii="宋体" w:hAnsi="宋体"/>
          <w:color w:val="auto"/>
          <w:sz w:val="24"/>
          <w:szCs w:val="28"/>
        </w:rPr>
        <w:t>有效性；</w:t>
      </w:r>
    </w:p>
    <w:p>
      <w:pPr>
        <w:adjustRightInd w:val="0"/>
        <w:snapToGrid w:val="0"/>
        <w:spacing w:line="360" w:lineRule="auto"/>
        <w:ind w:firstLine="480" w:firstLineChars="200"/>
        <w:rPr>
          <w:rFonts w:ascii="宋体" w:hAnsi="宋体"/>
          <w:color w:val="auto"/>
          <w:sz w:val="24"/>
          <w:szCs w:val="28"/>
        </w:rPr>
      </w:pPr>
      <w:r>
        <w:rPr>
          <w:rFonts w:hint="eastAsia" w:ascii="宋体" w:hAnsi="宋体"/>
          <w:color w:val="auto"/>
          <w:sz w:val="24"/>
          <w:szCs w:val="28"/>
        </w:rPr>
        <w:t>（2）复核以前年度已计提坏账准备的应收账款的后续实际核销或转回情况，评价管理层过往预测的准确性；</w:t>
      </w:r>
    </w:p>
    <w:p>
      <w:pPr>
        <w:adjustRightInd w:val="0"/>
        <w:snapToGrid w:val="0"/>
        <w:spacing w:line="360" w:lineRule="auto"/>
        <w:ind w:firstLine="480" w:firstLineChars="200"/>
        <w:rPr>
          <w:rFonts w:hint="eastAsia" w:ascii="宋体" w:hAnsi="宋体"/>
          <w:color w:val="auto"/>
          <w:sz w:val="24"/>
          <w:szCs w:val="28"/>
        </w:rPr>
      </w:pPr>
      <w:r>
        <w:rPr>
          <w:rFonts w:hint="eastAsia" w:ascii="宋体" w:hAnsi="宋体"/>
          <w:color w:val="auto"/>
          <w:sz w:val="24"/>
          <w:szCs w:val="28"/>
        </w:rPr>
        <w:t>（3）复核管理层对应收账款进行信用风险评估的相关考虑和客观证据，评价管理层是否恰当识别各项应收账款的信用风险特征；</w:t>
      </w:r>
    </w:p>
    <w:p>
      <w:pPr>
        <w:adjustRightInd w:val="0"/>
        <w:snapToGrid w:val="0"/>
        <w:spacing w:line="360" w:lineRule="auto"/>
        <w:ind w:firstLine="480" w:firstLineChars="200"/>
        <w:rPr>
          <w:rFonts w:ascii="宋体" w:hAnsi="宋体"/>
          <w:color w:val="auto"/>
          <w:sz w:val="24"/>
          <w:szCs w:val="28"/>
        </w:rPr>
      </w:pPr>
      <w:r>
        <w:rPr>
          <w:rFonts w:hint="eastAsia" w:ascii="宋体" w:hAnsi="宋体"/>
          <w:color w:val="auto"/>
          <w:sz w:val="24"/>
          <w:szCs w:val="28"/>
        </w:rPr>
        <w:t>（4）对于以单项为基础计量预期信用损失的应收账款，获取并检查管理层对预期收取现金流量的预测，评价在预测中使用的关键假设的合理性和数据的准确性，并与获取的外部证据进行核对；对于采用组合为基础计量预期信用损失的应收账款，评价管理层按信用风险特征划分组合的合理性；评价管理层根据历史信用损失经验及前瞻性估计确定的应收账款账龄与预期信用损失率对照表的合理性；测试管理层使用数据的准确性和完整性以及对坏账准备的计算是否准确；</w:t>
      </w:r>
    </w:p>
    <w:p>
      <w:pPr>
        <w:adjustRightInd w:val="0"/>
        <w:snapToGrid w:val="0"/>
        <w:spacing w:line="360" w:lineRule="auto"/>
        <w:ind w:firstLine="480" w:firstLineChars="200"/>
        <w:rPr>
          <w:rFonts w:ascii="宋体" w:hAnsi="宋体"/>
          <w:color w:val="auto"/>
          <w:sz w:val="24"/>
          <w:szCs w:val="28"/>
        </w:rPr>
      </w:pPr>
      <w:r>
        <w:rPr>
          <w:rFonts w:ascii="宋体" w:hAnsi="宋体"/>
          <w:color w:val="auto"/>
          <w:sz w:val="24"/>
          <w:szCs w:val="28"/>
        </w:rPr>
        <w:t>（</w:t>
      </w:r>
      <w:r>
        <w:rPr>
          <w:rFonts w:hint="eastAsia" w:ascii="宋体" w:hAnsi="宋体"/>
          <w:color w:val="auto"/>
          <w:sz w:val="24"/>
          <w:szCs w:val="28"/>
        </w:rPr>
        <w:t>5</w:t>
      </w:r>
      <w:r>
        <w:rPr>
          <w:rFonts w:ascii="宋体" w:hAnsi="宋体"/>
          <w:color w:val="auto"/>
          <w:sz w:val="24"/>
          <w:szCs w:val="28"/>
        </w:rPr>
        <w:t>）</w:t>
      </w:r>
      <w:r>
        <w:rPr>
          <w:rFonts w:hint="eastAsia" w:ascii="宋体" w:hAnsi="宋体"/>
          <w:color w:val="auto"/>
          <w:sz w:val="24"/>
          <w:szCs w:val="28"/>
        </w:rPr>
        <w:t>选取样本对金额重大的应收账款余额实施了函证、检查期后回款等审计程序，评价应收账款坏账准备计提的合理性。</w:t>
      </w:r>
    </w:p>
    <w:p>
      <w:pPr>
        <w:widowControl/>
        <w:spacing w:before="209" w:beforeLines="50" w:after="20" w:line="360" w:lineRule="auto"/>
        <w:ind w:firstLine="480" w:firstLineChars="200"/>
        <w:jc w:val="left"/>
        <w:rPr>
          <w:rFonts w:ascii="宋体" w:hAnsi="宋体" w:cs="宋体"/>
          <w:b/>
          <w:color w:val="auto"/>
          <w:kern w:val="0"/>
          <w:sz w:val="24"/>
          <w:szCs w:val="24"/>
        </w:rPr>
      </w:pPr>
      <w:r>
        <w:rPr>
          <w:rFonts w:hint="eastAsia" w:ascii="宋体" w:hAnsi="宋体" w:cs="宋体"/>
          <w:b/>
          <w:color w:val="auto"/>
          <w:kern w:val="0"/>
          <w:sz w:val="24"/>
          <w:szCs w:val="24"/>
        </w:rPr>
        <w:t>四、其他信息</w:t>
      </w:r>
    </w:p>
    <w:p>
      <w:pPr>
        <w:adjustRightInd w:val="0"/>
        <w:snapToGrid w:val="0"/>
        <w:spacing w:before="83" w:beforeLines="20" w:line="360" w:lineRule="auto"/>
        <w:ind w:firstLine="480" w:firstLineChars="200"/>
        <w:rPr>
          <w:rFonts w:hint="eastAsia" w:ascii="宋体" w:hAnsi="宋体"/>
          <w:color w:val="auto"/>
          <w:sz w:val="24"/>
          <w:szCs w:val="24"/>
        </w:rPr>
      </w:pPr>
      <w:r>
        <w:rPr>
          <w:rFonts w:hint="eastAsia" w:ascii="宋体" w:hAnsi="宋体"/>
          <w:color w:val="auto"/>
          <w:sz w:val="24"/>
          <w:szCs w:val="24"/>
        </w:rPr>
        <w:t>管理层对其他信息负责。其他信息包括伟隆公司202</w:t>
      </w:r>
      <w:r>
        <w:rPr>
          <w:rFonts w:ascii="宋体" w:hAnsi="宋体"/>
          <w:color w:val="auto"/>
          <w:sz w:val="24"/>
          <w:szCs w:val="24"/>
        </w:rPr>
        <w:t>2</w:t>
      </w:r>
      <w:r>
        <w:rPr>
          <w:rFonts w:hint="eastAsia" w:ascii="宋体" w:hAnsi="宋体"/>
          <w:color w:val="auto"/>
          <w:sz w:val="24"/>
          <w:szCs w:val="24"/>
        </w:rPr>
        <w:t>年年度报告中涵盖的信息，但不包括财务报表和我们的审计报告。</w:t>
      </w:r>
    </w:p>
    <w:p>
      <w:pPr>
        <w:adjustRightInd w:val="0"/>
        <w:snapToGrid w:val="0"/>
        <w:spacing w:before="83" w:beforeLines="20" w:line="360" w:lineRule="auto"/>
        <w:ind w:firstLine="480" w:firstLineChars="200"/>
        <w:rPr>
          <w:rFonts w:hint="eastAsia" w:ascii="宋体" w:hAnsi="宋体"/>
          <w:color w:val="auto"/>
          <w:sz w:val="24"/>
          <w:szCs w:val="24"/>
        </w:rPr>
      </w:pPr>
      <w:r>
        <w:rPr>
          <w:rFonts w:hint="eastAsia" w:ascii="宋体" w:hAnsi="宋体"/>
          <w:color w:val="auto"/>
          <w:sz w:val="24"/>
          <w:szCs w:val="24"/>
        </w:rPr>
        <w:t>我们对财务报表发表的审计意见不涵盖其他信息，我们也不对其他信息发表任何形式的鉴证结论。</w:t>
      </w:r>
    </w:p>
    <w:p>
      <w:pPr>
        <w:adjustRightInd w:val="0"/>
        <w:snapToGrid w:val="0"/>
        <w:spacing w:before="83" w:beforeLines="20" w:line="360" w:lineRule="auto"/>
        <w:ind w:firstLine="480" w:firstLineChars="200"/>
        <w:rPr>
          <w:rFonts w:hint="eastAsia" w:ascii="宋体" w:hAnsi="宋体"/>
          <w:color w:val="auto"/>
          <w:sz w:val="24"/>
          <w:szCs w:val="24"/>
        </w:rPr>
      </w:pPr>
      <w:r>
        <w:rPr>
          <w:rFonts w:hint="eastAsia" w:ascii="宋体" w:hAnsi="宋体"/>
          <w:color w:val="auto"/>
          <w:sz w:val="24"/>
          <w:szCs w:val="24"/>
        </w:rPr>
        <w:t>结合我们对财务报表的审计，我们的责任是阅读其他信息，在此过程中，考虑其他信息是否与财务报表或我们在审计过程中了解到的情况存在重大不一致或者似乎存在重大错报。</w:t>
      </w:r>
    </w:p>
    <w:p>
      <w:pPr>
        <w:adjustRightInd w:val="0"/>
        <w:snapToGrid w:val="0"/>
        <w:spacing w:before="83" w:beforeLines="20" w:line="360" w:lineRule="auto"/>
        <w:ind w:firstLine="480" w:firstLineChars="200"/>
        <w:rPr>
          <w:rFonts w:hint="eastAsia" w:ascii="宋体" w:hAnsi="宋体"/>
          <w:color w:val="auto"/>
          <w:sz w:val="24"/>
          <w:szCs w:val="24"/>
        </w:rPr>
      </w:pPr>
      <w:r>
        <w:rPr>
          <w:rFonts w:hint="eastAsia" w:ascii="宋体" w:hAnsi="宋体"/>
          <w:color w:val="auto"/>
          <w:sz w:val="24"/>
          <w:szCs w:val="24"/>
        </w:rPr>
        <w:t>基于我们已执行的工作，如果我们确定其他信息存在重大错报，我们应当报告该事实。在这方面，我们无任何事项需要报告。</w:t>
      </w:r>
    </w:p>
    <w:p>
      <w:pPr>
        <w:widowControl/>
        <w:spacing w:before="209" w:beforeLines="50" w:after="50" w:line="360" w:lineRule="auto"/>
        <w:ind w:firstLine="480" w:firstLineChars="200"/>
        <w:jc w:val="left"/>
        <w:rPr>
          <w:rFonts w:ascii="宋体" w:hAnsi="宋体" w:cs="宋体"/>
          <w:b/>
          <w:color w:val="auto"/>
          <w:kern w:val="0"/>
          <w:sz w:val="24"/>
          <w:szCs w:val="24"/>
        </w:rPr>
      </w:pPr>
      <w:r>
        <w:rPr>
          <w:rFonts w:hint="eastAsia" w:ascii="宋体" w:hAnsi="宋体" w:cs="宋体"/>
          <w:b/>
          <w:color w:val="auto"/>
          <w:kern w:val="0"/>
          <w:sz w:val="24"/>
          <w:szCs w:val="24"/>
        </w:rPr>
        <w:t>五、管理层和治理层对财务报表的责任</w:t>
      </w:r>
    </w:p>
    <w:p>
      <w:pPr>
        <w:adjustRightInd w:val="0"/>
        <w:snapToGrid w:val="0"/>
        <w:spacing w:before="83" w:beforeLines="20" w:line="360" w:lineRule="auto"/>
        <w:ind w:firstLine="480" w:firstLineChars="200"/>
        <w:rPr>
          <w:rFonts w:ascii="宋体" w:hAnsi="宋体"/>
          <w:color w:val="auto"/>
          <w:sz w:val="24"/>
          <w:szCs w:val="24"/>
        </w:rPr>
      </w:pPr>
      <w:r>
        <w:rPr>
          <w:rFonts w:hint="eastAsia" w:ascii="宋体" w:hAnsi="宋体"/>
          <w:color w:val="auto"/>
          <w:sz w:val="24"/>
          <w:szCs w:val="24"/>
        </w:rPr>
        <w:t>管理层负责按照企业会计准则的规定编制财务报表，使其实现公允反映，并设计、执行和维护必要的内部控制，以使财务报表不存在由于舞弊或错误导致的重大错报。</w:t>
      </w:r>
    </w:p>
    <w:p>
      <w:pPr>
        <w:adjustRightInd w:val="0"/>
        <w:snapToGrid w:val="0"/>
        <w:spacing w:before="83" w:beforeLines="20" w:line="360" w:lineRule="auto"/>
        <w:ind w:firstLine="480" w:firstLineChars="200"/>
        <w:rPr>
          <w:rFonts w:ascii="宋体" w:hAnsi="宋体"/>
          <w:color w:val="auto"/>
          <w:sz w:val="24"/>
          <w:szCs w:val="24"/>
        </w:rPr>
      </w:pPr>
      <w:r>
        <w:rPr>
          <w:rFonts w:hint="eastAsia" w:ascii="宋体" w:hAnsi="宋体"/>
          <w:color w:val="auto"/>
          <w:sz w:val="24"/>
          <w:szCs w:val="24"/>
        </w:rPr>
        <w:t>在编制财务报表时，管理层负责评估伟隆公司的持续经营能力，披露与持续经营相关的事项，并运用持续经营假设，除非管理层计划清算伟隆公司、终止运营或别无其他现实的选择。</w:t>
      </w:r>
    </w:p>
    <w:p>
      <w:pPr>
        <w:adjustRightInd w:val="0"/>
        <w:snapToGrid w:val="0"/>
        <w:spacing w:before="83" w:beforeLines="20" w:line="360" w:lineRule="auto"/>
        <w:ind w:firstLine="480" w:firstLineChars="200"/>
        <w:rPr>
          <w:rFonts w:ascii="宋体" w:hAnsi="宋体"/>
          <w:color w:val="auto"/>
          <w:sz w:val="24"/>
          <w:szCs w:val="24"/>
        </w:rPr>
      </w:pPr>
      <w:r>
        <w:rPr>
          <w:rFonts w:hint="eastAsia" w:ascii="宋体" w:hAnsi="宋体"/>
          <w:color w:val="auto"/>
          <w:sz w:val="24"/>
          <w:szCs w:val="24"/>
        </w:rPr>
        <w:t>伟隆公司治理层（以下简称治理层）负责监督伟隆公司的财务报告过程。</w:t>
      </w:r>
    </w:p>
    <w:p>
      <w:pPr>
        <w:widowControl/>
        <w:spacing w:after="50" w:line="360" w:lineRule="auto"/>
        <w:ind w:firstLine="480" w:firstLineChars="200"/>
        <w:jc w:val="left"/>
        <w:rPr>
          <w:rFonts w:ascii="宋体" w:hAnsi="宋体" w:cs="宋体"/>
          <w:b/>
          <w:color w:val="auto"/>
          <w:kern w:val="0"/>
          <w:sz w:val="24"/>
          <w:szCs w:val="24"/>
        </w:rPr>
      </w:pPr>
      <w:r>
        <w:rPr>
          <w:rFonts w:hint="eastAsia" w:ascii="宋体" w:hAnsi="宋体" w:cs="宋体"/>
          <w:b/>
          <w:color w:val="auto"/>
          <w:kern w:val="0"/>
          <w:sz w:val="24"/>
          <w:szCs w:val="24"/>
        </w:rPr>
        <w:t>六、注册会计师对财务报表审计的责任</w:t>
      </w:r>
    </w:p>
    <w:p>
      <w:pPr>
        <w:adjustRightInd w:val="0"/>
        <w:snapToGrid w:val="0"/>
        <w:spacing w:before="83" w:beforeLines="20" w:line="360" w:lineRule="auto"/>
        <w:ind w:firstLine="480" w:firstLineChars="200"/>
        <w:rPr>
          <w:rFonts w:ascii="宋体" w:hAnsi="宋体"/>
          <w:color w:val="auto"/>
          <w:sz w:val="24"/>
          <w:szCs w:val="24"/>
        </w:rPr>
      </w:pPr>
      <w:r>
        <w:rPr>
          <w:rFonts w:hint="eastAsia" w:ascii="宋体" w:hAnsi="宋体"/>
          <w:color w:val="auto"/>
          <w:sz w:val="24"/>
          <w:szCs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pPr>
        <w:adjustRightInd w:val="0"/>
        <w:snapToGrid w:val="0"/>
        <w:spacing w:before="83" w:beforeLines="20" w:line="360" w:lineRule="auto"/>
        <w:ind w:firstLine="480" w:firstLineChars="200"/>
        <w:rPr>
          <w:rFonts w:ascii="宋体" w:hAnsi="宋体"/>
          <w:color w:val="auto"/>
          <w:sz w:val="24"/>
          <w:szCs w:val="24"/>
        </w:rPr>
      </w:pPr>
      <w:r>
        <w:rPr>
          <w:rFonts w:hint="eastAsia" w:ascii="宋体" w:hAnsi="宋体"/>
          <w:color w:val="auto"/>
          <w:sz w:val="24"/>
          <w:szCs w:val="24"/>
        </w:rPr>
        <w:t>在按照审计准则执行审计工作的过程中，我们运用职业判断，并保持职业怀疑。同时，我们也执行以下工作：</w:t>
      </w:r>
    </w:p>
    <w:p>
      <w:pPr>
        <w:adjustRightInd w:val="0"/>
        <w:snapToGrid w:val="0"/>
        <w:spacing w:before="83" w:beforeLines="20" w:line="360" w:lineRule="auto"/>
        <w:ind w:firstLine="480" w:firstLineChars="200"/>
        <w:rPr>
          <w:rFonts w:ascii="宋体" w:hAnsi="宋体"/>
          <w:color w:val="auto"/>
          <w:sz w:val="24"/>
          <w:szCs w:val="24"/>
        </w:rPr>
      </w:pPr>
      <w:r>
        <w:rPr>
          <w:rFonts w:hint="eastAsia" w:ascii="宋体" w:hAnsi="宋体"/>
          <w:color w:val="auto"/>
          <w:sz w:val="24"/>
          <w:szCs w:val="24"/>
        </w:rPr>
        <w:t>（一）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pPr>
        <w:adjustRightInd w:val="0"/>
        <w:snapToGrid w:val="0"/>
        <w:spacing w:before="83" w:beforeLines="20" w:line="360" w:lineRule="auto"/>
        <w:ind w:firstLine="480" w:firstLineChars="200"/>
        <w:rPr>
          <w:rFonts w:hint="eastAsia" w:ascii="宋体" w:hAnsi="宋体"/>
          <w:color w:val="auto"/>
          <w:sz w:val="24"/>
          <w:szCs w:val="24"/>
        </w:rPr>
      </w:pPr>
      <w:r>
        <w:rPr>
          <w:rFonts w:hint="eastAsia" w:ascii="宋体" w:hAnsi="宋体"/>
          <w:color w:val="auto"/>
          <w:sz w:val="24"/>
          <w:szCs w:val="24"/>
        </w:rPr>
        <w:t>（二）了解与审计相关的内部控制，以设计恰当的审计程序。</w:t>
      </w:r>
    </w:p>
    <w:p>
      <w:pPr>
        <w:adjustRightInd w:val="0"/>
        <w:snapToGrid w:val="0"/>
        <w:spacing w:before="83" w:beforeLines="20" w:line="360" w:lineRule="auto"/>
        <w:ind w:firstLine="480" w:firstLineChars="200"/>
        <w:rPr>
          <w:rFonts w:ascii="宋体" w:hAnsi="宋体"/>
          <w:color w:val="auto"/>
          <w:sz w:val="24"/>
          <w:szCs w:val="24"/>
        </w:rPr>
      </w:pPr>
      <w:r>
        <w:rPr>
          <w:rFonts w:hint="eastAsia" w:ascii="宋体" w:hAnsi="宋体"/>
          <w:color w:val="auto"/>
          <w:sz w:val="24"/>
          <w:szCs w:val="24"/>
        </w:rPr>
        <w:t>（三）评价管理层选用会计政策的恰当性和作出会计估计及相关披露的合理性。</w:t>
      </w:r>
    </w:p>
    <w:p>
      <w:pPr>
        <w:adjustRightInd w:val="0"/>
        <w:snapToGrid w:val="0"/>
        <w:spacing w:before="83" w:beforeLines="20" w:line="360" w:lineRule="auto"/>
        <w:ind w:firstLine="480" w:firstLineChars="200"/>
        <w:rPr>
          <w:rFonts w:ascii="宋体" w:hAnsi="宋体"/>
          <w:color w:val="auto"/>
          <w:sz w:val="24"/>
          <w:szCs w:val="24"/>
        </w:rPr>
      </w:pPr>
      <w:r>
        <w:rPr>
          <w:rFonts w:hint="eastAsia" w:ascii="宋体" w:hAnsi="宋体"/>
          <w:color w:val="auto"/>
          <w:sz w:val="24"/>
          <w:szCs w:val="24"/>
        </w:rPr>
        <w:t>（四）对管理层使用持续经营假设的恰当性得出结论。同时，根据获取的审计证据，就可能导致对伟隆公司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伟隆公司不能持续经营。</w:t>
      </w:r>
    </w:p>
    <w:p>
      <w:pPr>
        <w:adjustRightInd w:val="0"/>
        <w:snapToGrid w:val="0"/>
        <w:spacing w:before="83" w:beforeLines="20" w:line="360" w:lineRule="auto"/>
        <w:ind w:firstLine="480" w:firstLineChars="200"/>
        <w:rPr>
          <w:rFonts w:hint="eastAsia" w:ascii="宋体" w:hAnsi="宋体"/>
          <w:color w:val="auto"/>
          <w:sz w:val="24"/>
          <w:szCs w:val="24"/>
        </w:rPr>
      </w:pPr>
      <w:r>
        <w:rPr>
          <w:rFonts w:hint="eastAsia" w:ascii="宋体" w:hAnsi="宋体"/>
          <w:color w:val="auto"/>
          <w:sz w:val="24"/>
          <w:szCs w:val="24"/>
        </w:rPr>
        <w:t>（五）评价财务报表的总体列报、结构和内容，并评价财务报表是否公允反映相关交易和事项。</w:t>
      </w:r>
    </w:p>
    <w:p>
      <w:pPr>
        <w:adjustRightInd w:val="0"/>
        <w:snapToGrid w:val="0"/>
        <w:spacing w:before="83" w:beforeLines="20" w:line="360" w:lineRule="auto"/>
        <w:ind w:firstLine="480" w:firstLineChars="200"/>
        <w:rPr>
          <w:rFonts w:ascii="宋体" w:hAnsi="宋体"/>
          <w:color w:val="auto"/>
          <w:sz w:val="24"/>
          <w:szCs w:val="24"/>
        </w:rPr>
      </w:pPr>
      <w:r>
        <w:rPr>
          <w:rFonts w:hint="eastAsia" w:ascii="宋体" w:hAnsi="宋体"/>
          <w:color w:val="auto"/>
          <w:sz w:val="24"/>
          <w:szCs w:val="24"/>
        </w:rPr>
        <w:t>（六）就伟隆公司中实体或业务活动的财务信息获取充分、适当的审计证据，以对财务报表发表审计意见。我们负责指导、监督和执行集团审计，并对审计意见承担全部责任。</w:t>
      </w:r>
    </w:p>
    <w:p>
      <w:pPr>
        <w:adjustRightInd w:val="0"/>
        <w:snapToGrid w:val="0"/>
        <w:spacing w:before="83" w:beforeLines="20" w:line="360" w:lineRule="auto"/>
        <w:ind w:firstLine="480" w:firstLineChars="200"/>
        <w:rPr>
          <w:rFonts w:ascii="宋体" w:hAnsi="宋体"/>
          <w:color w:val="auto"/>
          <w:sz w:val="24"/>
          <w:szCs w:val="24"/>
        </w:rPr>
      </w:pPr>
      <w:r>
        <w:rPr>
          <w:rFonts w:hint="eastAsia" w:ascii="宋体" w:hAnsi="宋体"/>
          <w:color w:val="auto"/>
          <w:sz w:val="24"/>
          <w:szCs w:val="24"/>
        </w:rPr>
        <w:t>我们与治理层就计划的审计范围、时间安排和重大审计发现等事项进行沟通，包括沟通我们在审计中识别出的值得关注的内部控制缺陷。</w:t>
      </w:r>
    </w:p>
    <w:p>
      <w:pPr>
        <w:adjustRightInd w:val="0"/>
        <w:snapToGrid w:val="0"/>
        <w:spacing w:before="83" w:beforeLines="20" w:line="360" w:lineRule="auto"/>
        <w:ind w:firstLine="480" w:firstLineChars="200"/>
        <w:rPr>
          <w:rFonts w:ascii="宋体" w:hAnsi="宋体"/>
          <w:color w:val="auto"/>
          <w:sz w:val="24"/>
          <w:szCs w:val="24"/>
        </w:rPr>
      </w:pPr>
      <w:r>
        <w:rPr>
          <w:rFonts w:hint="eastAsia" w:ascii="宋体" w:hAnsi="宋体"/>
          <w:color w:val="auto"/>
          <w:sz w:val="24"/>
          <w:szCs w:val="24"/>
        </w:rPr>
        <w:t>我们还就已遵守与独立性相关的职业道德要求向治理层提供声明，并与治理层沟通可能被合理认为影响我们独立性的所有关系和其他事项，以及相关的防范措施。</w:t>
      </w:r>
    </w:p>
    <w:p>
      <w:pPr>
        <w:adjustRightInd w:val="0"/>
        <w:snapToGrid w:val="0"/>
        <w:spacing w:before="83" w:beforeLines="20" w:line="360" w:lineRule="auto"/>
        <w:ind w:firstLine="480" w:firstLineChars="200"/>
        <w:rPr>
          <w:rFonts w:hint="eastAsia" w:ascii="宋体" w:hAnsi="宋体"/>
          <w:color w:val="auto"/>
          <w:sz w:val="24"/>
          <w:szCs w:val="24"/>
        </w:rPr>
      </w:pPr>
      <w:r>
        <w:rPr>
          <w:rFonts w:hint="eastAsia" w:ascii="宋体" w:hAnsi="宋体"/>
          <w:color w:val="auto"/>
          <w:sz w:val="24"/>
          <w:szCs w:val="24"/>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pPr>
        <w:adjustRightInd w:val="0"/>
        <w:snapToGrid w:val="0"/>
        <w:spacing w:before="83" w:beforeLines="20" w:line="360" w:lineRule="auto"/>
        <w:rPr>
          <w:rFonts w:hint="eastAsia" w:ascii="宋体" w:hAnsi="宋体"/>
          <w:color w:val="auto"/>
          <w:sz w:val="24"/>
          <w:szCs w:val="24"/>
        </w:rPr>
      </w:pPr>
      <w:r>
        <w:rPr>
          <w:rFonts w:hint="eastAsia" w:ascii="宋体" w:hAnsi="宋体"/>
          <w:color w:val="auto"/>
          <w:sz w:val="24"/>
          <w:szCs w:val="24"/>
        </w:rPr>
        <w:t xml:space="preserve"> </w:t>
      </w:r>
    </w:p>
    <w:p>
      <w:pPr>
        <w:adjustRightInd w:val="0"/>
        <w:snapToGrid w:val="0"/>
        <w:spacing w:before="83" w:beforeLines="20" w:line="360" w:lineRule="auto"/>
        <w:rPr>
          <w:rFonts w:hint="eastAsia" w:ascii="宋体" w:hAnsi="宋体"/>
          <w:color w:val="auto"/>
          <w:sz w:val="24"/>
          <w:szCs w:val="24"/>
        </w:rPr>
      </w:pPr>
    </w:p>
    <w:p>
      <w:pPr>
        <w:adjustRightInd w:val="0"/>
        <w:snapToGrid w:val="0"/>
        <w:spacing w:before="83" w:beforeLines="20" w:line="360" w:lineRule="auto"/>
        <w:rPr>
          <w:rFonts w:hint="eastAsia" w:ascii="宋体" w:hAnsi="宋体"/>
          <w:color w:val="auto"/>
          <w:sz w:val="24"/>
          <w:szCs w:val="24"/>
        </w:rPr>
      </w:pPr>
    </w:p>
    <w:p>
      <w:pPr>
        <w:adjustRightInd w:val="0"/>
        <w:snapToGrid w:val="0"/>
        <w:spacing w:before="83" w:beforeLines="20" w:line="360" w:lineRule="auto"/>
        <w:rPr>
          <w:rFonts w:hint="eastAsia" w:ascii="宋体" w:hAnsi="宋体"/>
          <w:color w:val="auto"/>
          <w:sz w:val="24"/>
          <w:szCs w:val="24"/>
        </w:rPr>
      </w:pPr>
    </w:p>
    <w:p>
      <w:pPr>
        <w:adjustRightInd w:val="0"/>
        <w:snapToGrid w:val="0"/>
        <w:spacing w:before="83" w:beforeLines="20" w:line="360" w:lineRule="auto"/>
        <w:rPr>
          <w:rFonts w:hint="eastAsia" w:ascii="宋体" w:hAnsi="宋体"/>
          <w:color w:val="auto"/>
          <w:sz w:val="24"/>
          <w:szCs w:val="24"/>
        </w:rPr>
      </w:pPr>
    </w:p>
    <w:p>
      <w:pPr>
        <w:adjustRightInd w:val="0"/>
        <w:snapToGrid w:val="0"/>
        <w:spacing w:before="83" w:beforeLines="20" w:line="360" w:lineRule="auto"/>
        <w:rPr>
          <w:rFonts w:hint="eastAsia" w:ascii="宋体" w:hAnsi="宋体"/>
          <w:color w:val="auto"/>
          <w:sz w:val="24"/>
          <w:szCs w:val="24"/>
        </w:rPr>
      </w:pPr>
    </w:p>
    <w:p>
      <w:pPr>
        <w:rPr>
          <w:rFonts w:hint="eastAsia" w:ascii="宋体" w:hAnsi="宋体"/>
          <w:color w:val="auto"/>
          <w:sz w:val="24"/>
          <w:szCs w:val="24"/>
        </w:rPr>
      </w:pPr>
      <w:r>
        <w:rPr>
          <w:rFonts w:hint="eastAsia" w:ascii="宋体" w:hAnsi="宋体"/>
          <w:color w:val="auto"/>
          <w:sz w:val="24"/>
          <w:szCs w:val="24"/>
        </w:rPr>
        <w:br w:type="page"/>
      </w:r>
    </w:p>
    <w:p>
      <w:pPr>
        <w:adjustRightInd w:val="0"/>
        <w:snapToGrid w:val="0"/>
        <w:spacing w:before="83" w:beforeLines="20" w:line="360" w:lineRule="auto"/>
        <w:rPr>
          <w:rFonts w:hint="eastAsia" w:ascii="宋体" w:hAnsi="宋体"/>
          <w:i/>
          <w:color w:val="auto"/>
          <w:sz w:val="24"/>
          <w:szCs w:val="24"/>
        </w:rPr>
      </w:pPr>
      <w:r>
        <w:rPr>
          <w:rFonts w:hint="eastAsia" w:ascii="宋体" w:hAnsi="宋体"/>
          <w:i/>
          <w:color w:val="auto"/>
          <w:szCs w:val="24"/>
        </w:rPr>
        <w:t>（此页无正文，为青岛伟隆阀门股份有限公司202</w:t>
      </w:r>
      <w:r>
        <w:rPr>
          <w:rFonts w:ascii="宋体" w:hAnsi="宋体"/>
          <w:i/>
          <w:color w:val="auto"/>
          <w:szCs w:val="24"/>
        </w:rPr>
        <w:t>2</w:t>
      </w:r>
      <w:r>
        <w:rPr>
          <w:rFonts w:hint="eastAsia" w:ascii="宋体" w:hAnsi="宋体"/>
          <w:i/>
          <w:color w:val="auto"/>
          <w:szCs w:val="24"/>
        </w:rPr>
        <w:t xml:space="preserve"> 年度审计报告的盖章签字页）</w:t>
      </w:r>
      <w:r>
        <w:rPr>
          <w:rFonts w:hint="eastAsia" w:ascii="宋体" w:hAnsi="宋体"/>
          <w:i/>
          <w:color w:val="auto"/>
          <w:sz w:val="24"/>
          <w:szCs w:val="24"/>
        </w:rPr>
        <w:cr/>
      </w:r>
    </w:p>
    <w:p>
      <w:pPr>
        <w:adjustRightInd w:val="0"/>
        <w:snapToGrid w:val="0"/>
        <w:spacing w:before="83" w:beforeLines="20" w:line="360" w:lineRule="auto"/>
        <w:rPr>
          <w:rFonts w:hint="eastAsia" w:ascii="宋体" w:hAnsi="宋体"/>
          <w:color w:val="auto"/>
          <w:sz w:val="24"/>
          <w:szCs w:val="24"/>
        </w:rPr>
      </w:pPr>
    </w:p>
    <w:p>
      <w:pPr>
        <w:adjustRightInd w:val="0"/>
        <w:snapToGrid w:val="0"/>
        <w:spacing w:before="83" w:beforeLines="20" w:line="360" w:lineRule="auto"/>
        <w:rPr>
          <w:rFonts w:hint="eastAsia" w:ascii="宋体" w:hAnsi="宋体"/>
          <w:color w:val="auto"/>
          <w:sz w:val="24"/>
          <w:szCs w:val="24"/>
        </w:rPr>
      </w:pPr>
    </w:p>
    <w:p>
      <w:pPr>
        <w:adjustRightInd w:val="0"/>
        <w:snapToGrid w:val="0"/>
        <w:spacing w:before="83" w:beforeLines="20" w:line="360" w:lineRule="auto"/>
        <w:rPr>
          <w:rFonts w:hint="eastAsia" w:ascii="宋体" w:hAnsi="宋体"/>
          <w:color w:val="auto"/>
          <w:sz w:val="24"/>
          <w:szCs w:val="24"/>
        </w:rPr>
      </w:pPr>
    </w:p>
    <w:p>
      <w:pPr>
        <w:adjustRightInd w:val="0"/>
        <w:snapToGrid w:val="0"/>
        <w:spacing w:before="83" w:beforeLines="20" w:line="360" w:lineRule="auto"/>
        <w:rPr>
          <w:rFonts w:hint="eastAsia" w:ascii="宋体" w:hAnsi="宋体"/>
          <w:color w:val="auto"/>
          <w:sz w:val="24"/>
          <w:szCs w:val="24"/>
        </w:rPr>
      </w:pPr>
    </w:p>
    <w:p>
      <w:pPr>
        <w:adjustRightInd w:val="0"/>
        <w:snapToGrid w:val="0"/>
        <w:spacing w:before="83" w:beforeLines="20" w:line="360" w:lineRule="auto"/>
        <w:rPr>
          <w:rFonts w:hint="eastAsia" w:ascii="宋体" w:hAnsi="宋体"/>
          <w:color w:val="auto"/>
          <w:sz w:val="24"/>
          <w:szCs w:val="24"/>
        </w:rPr>
      </w:pPr>
    </w:p>
    <w:p>
      <w:pPr>
        <w:adjustRightInd w:val="0"/>
        <w:snapToGrid w:val="0"/>
        <w:spacing w:before="83" w:beforeLines="20" w:line="360" w:lineRule="auto"/>
        <w:rPr>
          <w:rFonts w:hint="eastAsia" w:ascii="宋体" w:hAnsi="宋体"/>
          <w:color w:val="auto"/>
          <w:sz w:val="24"/>
          <w:szCs w:val="24"/>
        </w:rPr>
      </w:pPr>
    </w:p>
    <w:p>
      <w:pPr>
        <w:adjustRightInd w:val="0"/>
        <w:snapToGrid w:val="0"/>
        <w:spacing w:before="83" w:beforeLines="20" w:line="360" w:lineRule="auto"/>
        <w:rPr>
          <w:rFonts w:hint="eastAsia" w:ascii="宋体" w:hAnsi="宋体"/>
          <w:color w:val="auto"/>
          <w:sz w:val="24"/>
          <w:szCs w:val="24"/>
        </w:rPr>
      </w:pPr>
    </w:p>
    <w:p>
      <w:pPr>
        <w:adjustRightInd w:val="0"/>
        <w:snapToGrid w:val="0"/>
        <w:spacing w:before="83" w:beforeLines="20" w:line="360" w:lineRule="auto"/>
        <w:rPr>
          <w:rFonts w:hint="eastAsia" w:ascii="宋体" w:hAnsi="宋体"/>
          <w:color w:val="auto"/>
          <w:sz w:val="24"/>
          <w:szCs w:val="24"/>
        </w:rPr>
      </w:pPr>
    </w:p>
    <w:p>
      <w:pPr>
        <w:adjustRightInd w:val="0"/>
        <w:snapToGrid w:val="0"/>
        <w:spacing w:before="83" w:beforeLines="20" w:line="360" w:lineRule="auto"/>
        <w:rPr>
          <w:rFonts w:hint="eastAsia" w:ascii="宋体" w:hAnsi="宋体"/>
          <w:color w:val="auto"/>
          <w:sz w:val="24"/>
          <w:szCs w:val="24"/>
        </w:rPr>
      </w:pPr>
    </w:p>
    <w:p>
      <w:pPr>
        <w:adjustRightInd w:val="0"/>
        <w:snapToGrid w:val="0"/>
        <w:spacing w:before="83" w:beforeLines="20" w:line="360" w:lineRule="auto"/>
        <w:rPr>
          <w:rFonts w:hint="eastAsia" w:ascii="宋体" w:hAnsi="宋体"/>
          <w:color w:val="auto"/>
          <w:sz w:val="24"/>
          <w:szCs w:val="24"/>
        </w:rPr>
      </w:pPr>
    </w:p>
    <w:p>
      <w:pPr>
        <w:adjustRightInd w:val="0"/>
        <w:snapToGrid w:val="0"/>
        <w:spacing w:before="83" w:beforeLines="20" w:line="360" w:lineRule="auto"/>
        <w:rPr>
          <w:rFonts w:hint="eastAsia" w:ascii="宋体" w:hAnsi="宋体"/>
          <w:color w:val="auto"/>
          <w:sz w:val="24"/>
          <w:szCs w:val="24"/>
        </w:rPr>
      </w:pPr>
    </w:p>
    <w:p>
      <w:pPr>
        <w:adjustRightInd w:val="0"/>
        <w:snapToGrid w:val="0"/>
        <w:spacing w:before="83" w:beforeLines="20" w:line="360" w:lineRule="auto"/>
        <w:rPr>
          <w:rFonts w:hint="eastAsia" w:ascii="宋体" w:hAnsi="宋体"/>
          <w:color w:val="auto"/>
          <w:sz w:val="24"/>
          <w:szCs w:val="24"/>
        </w:rPr>
      </w:pPr>
    </w:p>
    <w:p>
      <w:pPr>
        <w:adjustRightInd w:val="0"/>
        <w:snapToGrid w:val="0"/>
        <w:spacing w:before="83" w:beforeLines="20" w:line="360" w:lineRule="auto"/>
        <w:rPr>
          <w:rFonts w:hint="eastAsia" w:ascii="宋体" w:hAnsi="宋体"/>
          <w:color w:val="auto"/>
          <w:sz w:val="24"/>
          <w:szCs w:val="24"/>
        </w:rPr>
      </w:pPr>
    </w:p>
    <w:p>
      <w:pPr>
        <w:adjustRightInd w:val="0"/>
        <w:snapToGrid w:val="0"/>
        <w:rPr>
          <w:rFonts w:hint="eastAsia" w:ascii="宋体" w:hAnsi="宋体"/>
          <w:b/>
          <w:color w:val="auto"/>
          <w:sz w:val="24"/>
          <w:szCs w:val="28"/>
        </w:rPr>
      </w:pPr>
      <w:r>
        <w:rPr>
          <w:rFonts w:hint="eastAsia" w:ascii="宋体" w:hAnsi="宋体"/>
          <w:b/>
          <w:color w:val="auto"/>
          <w:sz w:val="24"/>
          <w:szCs w:val="28"/>
        </w:rPr>
        <w:t>和信会计师事务所（特殊普通合伙）     中国注册会计师:</w:t>
      </w:r>
    </w:p>
    <w:p>
      <w:pPr>
        <w:adjustRightInd w:val="0"/>
        <w:snapToGrid w:val="0"/>
        <w:spacing w:before="209" w:beforeLines="50" w:line="360" w:lineRule="auto"/>
        <w:rPr>
          <w:rFonts w:hint="eastAsia" w:ascii="宋体" w:hAnsi="宋体"/>
          <w:b/>
          <w:color w:val="auto"/>
          <w:sz w:val="24"/>
          <w:szCs w:val="28"/>
        </w:rPr>
      </w:pPr>
      <w:r>
        <w:rPr>
          <w:rFonts w:hint="eastAsia" w:ascii="宋体" w:hAnsi="宋体"/>
          <w:b/>
          <w:color w:val="auto"/>
          <w:sz w:val="24"/>
          <w:szCs w:val="28"/>
        </w:rPr>
        <w:t xml:space="preserve">                                        (项目合伙人)</w:t>
      </w:r>
    </w:p>
    <w:p>
      <w:pPr>
        <w:adjustRightInd w:val="0"/>
        <w:snapToGrid w:val="0"/>
        <w:ind w:firstLine="925" w:firstLineChars="399"/>
        <w:rPr>
          <w:rFonts w:hint="eastAsia" w:ascii="宋体" w:hAnsi="宋体"/>
          <w:b/>
          <w:color w:val="auto"/>
          <w:spacing w:val="-4"/>
          <w:sz w:val="24"/>
          <w:szCs w:val="28"/>
        </w:rPr>
      </w:pPr>
    </w:p>
    <w:p>
      <w:pPr>
        <w:adjustRightInd w:val="0"/>
        <w:snapToGrid w:val="0"/>
        <w:ind w:firstLine="925" w:firstLineChars="399"/>
        <w:rPr>
          <w:rFonts w:hint="eastAsia" w:ascii="宋体" w:hAnsi="宋体"/>
          <w:b/>
          <w:color w:val="auto"/>
          <w:sz w:val="24"/>
          <w:szCs w:val="28"/>
        </w:rPr>
      </w:pPr>
      <w:r>
        <w:rPr>
          <w:rFonts w:hint="eastAsia" w:ascii="宋体" w:hAnsi="宋体"/>
          <w:b/>
          <w:color w:val="auto"/>
          <w:spacing w:val="-4"/>
          <w:sz w:val="24"/>
          <w:szCs w:val="28"/>
        </w:rPr>
        <w:t xml:space="preserve">中国·济南                       </w:t>
      </w:r>
    </w:p>
    <w:p>
      <w:pPr>
        <w:tabs>
          <w:tab w:val="left" w:pos="4686"/>
          <w:tab w:val="left" w:pos="4899"/>
        </w:tabs>
        <w:adjustRightInd w:val="0"/>
        <w:snapToGrid w:val="0"/>
        <w:rPr>
          <w:rFonts w:hint="eastAsia" w:ascii="宋体" w:hAnsi="宋体"/>
          <w:b/>
          <w:color w:val="auto"/>
          <w:sz w:val="24"/>
          <w:szCs w:val="28"/>
        </w:rPr>
      </w:pPr>
      <w:r>
        <w:rPr>
          <w:rFonts w:hint="eastAsia" w:ascii="宋体" w:hAnsi="宋体"/>
          <w:b/>
          <w:color w:val="auto"/>
          <w:sz w:val="24"/>
          <w:szCs w:val="28"/>
        </w:rPr>
        <w:t xml:space="preserve">                                      中国注册会计师:</w:t>
      </w:r>
    </w:p>
    <w:p>
      <w:pPr>
        <w:adjustRightInd w:val="0"/>
        <w:snapToGrid w:val="0"/>
        <w:ind w:firstLine="4392" w:firstLineChars="1830"/>
        <w:rPr>
          <w:rFonts w:hint="eastAsia" w:ascii="宋体" w:hAnsi="宋体"/>
          <w:b/>
          <w:color w:val="auto"/>
          <w:sz w:val="24"/>
          <w:szCs w:val="28"/>
        </w:rPr>
      </w:pPr>
      <w:r>
        <w:rPr>
          <w:rFonts w:hint="eastAsia" w:ascii="宋体" w:hAnsi="宋体"/>
          <w:b/>
          <w:color w:val="auto"/>
          <w:sz w:val="24"/>
          <w:szCs w:val="28"/>
        </w:rPr>
        <w:t xml:space="preserve"> </w:t>
      </w:r>
    </w:p>
    <w:p>
      <w:pPr>
        <w:adjustRightInd w:val="0"/>
        <w:snapToGrid w:val="0"/>
        <w:ind w:firstLine="4392" w:firstLineChars="1830"/>
        <w:rPr>
          <w:rFonts w:hint="eastAsia" w:ascii="宋体" w:hAnsi="宋体"/>
          <w:b/>
          <w:color w:val="auto"/>
          <w:sz w:val="24"/>
          <w:szCs w:val="28"/>
        </w:rPr>
      </w:pPr>
      <w:r>
        <w:rPr>
          <w:rFonts w:hint="eastAsia" w:ascii="宋体" w:hAnsi="宋体"/>
          <w:b/>
          <w:color w:val="auto"/>
          <w:sz w:val="24"/>
          <w:szCs w:val="28"/>
        </w:rPr>
        <w:t xml:space="preserve"> </w:t>
      </w:r>
    </w:p>
    <w:p>
      <w:pPr>
        <w:adjustRightInd w:val="0"/>
        <w:snapToGrid w:val="0"/>
        <w:ind w:firstLine="4392" w:firstLineChars="1830"/>
        <w:rPr>
          <w:rFonts w:ascii="宋体" w:hAnsi="宋体"/>
          <w:color w:val="auto"/>
          <w:sz w:val="24"/>
          <w:szCs w:val="28"/>
        </w:rPr>
      </w:pPr>
      <w:r>
        <w:rPr>
          <w:rFonts w:hint="eastAsia" w:ascii="宋体" w:hAnsi="宋体"/>
          <w:b/>
          <w:color w:val="auto"/>
          <w:sz w:val="24"/>
          <w:szCs w:val="28"/>
        </w:rPr>
        <w:t xml:space="preserve">  二○二三年三月二十日</w:t>
      </w:r>
    </w:p>
    <w:p>
      <w:pPr>
        <w:rPr>
          <w:rFonts w:hint="eastAsia"/>
          <w:color w:val="auto"/>
        </w:rPr>
      </w:pPr>
      <w:r>
        <w:rPr>
          <w:rFonts w:hint="eastAsia"/>
          <w:color w:val="auto"/>
        </w:rPr>
        <w:br w:type="page"/>
      </w:r>
    </w:p>
    <w:p>
      <w:pPr>
        <w:rPr>
          <w:rFonts w:hint="eastAsia"/>
          <w:color w:val="auto"/>
        </w:rPr>
      </w:pPr>
    </w:p>
    <w:bookmarkEnd w:id="0"/>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财务附注中报表的单位为：元</w:t>
      </w:r>
    </w:p>
    <w:p>
      <w:pPr>
        <w:keepNext/>
        <w:keepLines/>
        <w:spacing w:before="300" w:after="300" w:line="280" w:lineRule="exact"/>
        <w:jc w:val="left"/>
        <w:outlineLvl w:val="2"/>
        <w:rPr>
          <w:rFonts w:ascii="宋体" w:hAnsi="宋体" w:eastAsia="宋体" w:cs="宋体"/>
          <w:b/>
          <w:bCs/>
          <w:color w:val="auto"/>
          <w:sz w:val="21"/>
          <w:szCs w:val="21"/>
        </w:rPr>
      </w:pPr>
      <w:bookmarkStart w:id="13" w:name="_Toc989037"/>
      <w:r>
        <w:rPr>
          <w:rFonts w:ascii="宋体" w:hAnsi="宋体" w:eastAsia="宋体" w:cs="宋体"/>
          <w:b/>
          <w:bCs/>
          <w:color w:val="auto"/>
          <w:sz w:val="21"/>
          <w:szCs w:val="21"/>
        </w:rPr>
        <w:t>1、合并资产负债表</w:t>
      </w:r>
      <w:bookmarkEnd w:id="13"/>
    </w:p>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编制单位：青岛伟隆阀门股份有限公司</w:t>
      </w:r>
    </w:p>
    <w:p>
      <w:pPr>
        <w:spacing w:before="0" w:after="0" w:line="240" w:lineRule="exact"/>
        <w:jc w:val="center"/>
        <w:rPr>
          <w:rFonts w:ascii="宋体" w:hAnsi="宋体" w:eastAsia="宋体" w:cs="宋体"/>
          <w:color w:val="auto"/>
          <w:sz w:val="18"/>
          <w:szCs w:val="18"/>
        </w:rPr>
      </w:pPr>
      <w:r>
        <w:rPr>
          <w:rFonts w:ascii="宋体" w:hAnsi="宋体" w:eastAsia="宋体" w:cs="宋体"/>
          <w:color w:val="auto"/>
          <w:sz w:val="18"/>
          <w:szCs w:val="18"/>
        </w:rPr>
        <w:t>2022年12月31日</w:t>
      </w:r>
    </w:p>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2022年12月31日</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2022年1月1日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164,261,280.70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96,516,652.97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结算备付金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拆出资金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254,123,980.37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188,606,030.67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衍生金融资产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224,865.00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应收账款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79,658,151.47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71,854,562.96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应收款项融资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11,585,000.00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预付款项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3,895,990.57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3,615,789.53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应收保费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应收分保账款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应收分保合同准备金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5,246,790.76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6,012,212.39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其中：应收利息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color w:val="auto"/>
                <w:sz w:val="18"/>
                <w:szCs w:val="18"/>
              </w:rPr>
            </w:pPr>
            <w:r>
              <w:rPr>
                <w:rFonts w:ascii="宋体" w:hAnsi="宋体" w:eastAsia="宋体" w:cs="宋体"/>
                <w:color w:val="auto"/>
                <w:sz w:val="18"/>
                <w:szCs w:val="18"/>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买入返售金融资产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118,912,459.68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112,522,186.11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合同资产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持有待售资产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一年内到期的非流动资产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62,667,045.41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88,531,081.57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689,120,563.96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579,243,516.20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发放贷款和垫款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10,092,534.25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长期应收款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长期股权投资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其他非流动金融资产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投资性房地产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1,313,714.00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5,578,661.78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238,863,943.64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250,212,871.99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5,087,629.59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4,649,676.26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生产性生物资产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油气资产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使用权资产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33,521,880.39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34,515,647.77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开发支出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长期待摊费用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2,034,592.12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1,212,383.99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递延所得税资产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13,837,579.35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14,220,282.37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94,680.00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247,500.00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非流动资产合计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304,846,553.34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310,637,024.16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资产总计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993,967,117.30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889,880,540.36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短期借款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30,009,166.67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31,000,000.00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向中央银行借款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拆入资金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衍生金融负债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应付票据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42,008,440.99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38,786,483.35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应付账款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58,391,965.01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57,589,689.24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预收款项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24,500,000.00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合同负债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17,150,323.08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16,522,851.95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卖出回购金融资产款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吸收存款及同业存放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代理买卖证券款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代理承销证券款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27,086,345.89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21,462,310.06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应交税费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12,819,480.73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4,962,868.65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21,663,868.40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34,116,462.22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其中：应付利息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color w:val="auto"/>
                <w:sz w:val="18"/>
                <w:szCs w:val="18"/>
              </w:rPr>
            </w:pPr>
            <w:r>
              <w:rPr>
                <w:rFonts w:ascii="宋体" w:hAnsi="宋体" w:eastAsia="宋体" w:cs="宋体"/>
                <w:color w:val="auto"/>
                <w:sz w:val="18"/>
                <w:szCs w:val="18"/>
              </w:rPr>
              <w:t>应付股利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应付手续费及佣金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应付分保账款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持有待售负债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一年内到期的非流动负债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341,862.98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391,593.99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209,471,453.75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229,332,259.46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保险合同准备金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长期借款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应付债券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color w:val="auto"/>
                <w:sz w:val="18"/>
                <w:szCs w:val="18"/>
              </w:rPr>
            </w:pPr>
            <w:r>
              <w:rPr>
                <w:rFonts w:ascii="宋体" w:hAnsi="宋体" w:eastAsia="宋体" w:cs="宋体"/>
                <w:color w:val="auto"/>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长期应付职工薪酬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预计负债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递延收益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10,523,634.82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11,242,874.68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2,655,171.82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3,326,801.66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非流动负债合计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13,178,806.64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14,569,676.34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222,650,260.39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243,901,935.80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所有者权益：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股本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168,877,148.00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169,032,648.00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其他权益工具</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color w:val="auto"/>
                <w:sz w:val="18"/>
                <w:szCs w:val="18"/>
              </w:rPr>
            </w:pPr>
            <w:r>
              <w:rPr>
                <w:rFonts w:ascii="宋体" w:hAnsi="宋体" w:eastAsia="宋体" w:cs="宋体"/>
                <w:color w:val="auto"/>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资本公积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185,170,118.70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181,594,520.64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减：库存股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10,370,085.90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17,675,679.85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-5,763.20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56,755.28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专项储备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72,093,311.38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58,404,405.20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一般风险准备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318,124,785.17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254,565,955.29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归属于母公司所有者权益合计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733,889,514.15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645,978,604.56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37,427,342.76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771,316,856.91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645,978,604.56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负债和所有者权益总计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993,967,117.30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889,880,540.36</w:t>
            </w:r>
          </w:p>
        </w:tc>
      </w:tr>
    </w:tbl>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法定代表人：范庆伟    主管会计工作负责人：迟娜娜      会计机构负责人：王涛</w:t>
      </w:r>
    </w:p>
    <w:p>
      <w:pPr>
        <w:keepNext/>
        <w:keepLines/>
        <w:spacing w:before="300" w:after="300" w:line="280" w:lineRule="exact"/>
        <w:jc w:val="left"/>
        <w:outlineLvl w:val="2"/>
        <w:rPr>
          <w:rFonts w:ascii="宋体" w:hAnsi="宋体" w:eastAsia="宋体" w:cs="宋体"/>
          <w:b/>
          <w:bCs/>
          <w:color w:val="auto"/>
          <w:sz w:val="21"/>
          <w:szCs w:val="21"/>
        </w:rPr>
      </w:pPr>
      <w:bookmarkStart w:id="14" w:name="_Toc989038"/>
      <w:r>
        <w:rPr>
          <w:rFonts w:ascii="宋体" w:hAnsi="宋体" w:eastAsia="宋体" w:cs="宋体"/>
          <w:b/>
          <w:bCs/>
          <w:color w:val="auto"/>
          <w:sz w:val="21"/>
          <w:szCs w:val="21"/>
        </w:rPr>
        <w:t>2、母公司资产负债表</w:t>
      </w:r>
      <w:bookmarkEnd w:id="14"/>
    </w:p>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2022年12月31日</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2022年1月1日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157,651,877.73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80,940,458.50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151,808,520.22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188,606,030.67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衍生金融资产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224,865.00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应收账款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74,567,692.37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64,064,837.38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应收款项融资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11,550,000.00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预付款项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85,543,814.85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100,243,210.24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22,966,998.07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19,760,830.43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其中：应收利息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color w:val="auto"/>
                <w:sz w:val="18"/>
                <w:szCs w:val="18"/>
              </w:rPr>
            </w:pPr>
            <w:r>
              <w:rPr>
                <w:rFonts w:ascii="宋体" w:hAnsi="宋体" w:eastAsia="宋体" w:cs="宋体"/>
                <w:color w:val="auto"/>
                <w:sz w:val="18"/>
                <w:szCs w:val="18"/>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54,044,290.26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53,048,934.32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合同资产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持有待售资产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一年内到期的非流动资产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62,328,234.51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81,130,425.52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609,266,293.01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599,344,727.06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10,092,534.25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长期应收款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长期股权投资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294,114,889.38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242,362,726.25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其他非流动金融资产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投资性房地产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21,327,324.53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22,622,415.40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410,611.50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3,438,543.53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生产性生物资产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油气资产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使用权资产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1,051,859.44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623,386.08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开发支出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长期待摊费用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递延所得税资产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2,641,469.76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2,290,899.59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94,680.00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非流动资产合计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329,733,368.86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271,337,970.85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资产总计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938,999,661.87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870,682,697.91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短期借款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30,009,166.67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31,000,000.00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衍生金融负债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应付票据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42,008,440.99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38,786,483.35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应付账款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36,151,784.02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34,404,416.59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预收款项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24,500,000.00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合同负债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16,986,005.51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16,281,610.35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14,694,664.48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9,180,636.07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应交税费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10,549,752.79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3,661,870.25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20,262,187.96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31,948,076.53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其中：应付利息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color w:val="auto"/>
                <w:sz w:val="18"/>
                <w:szCs w:val="18"/>
              </w:rPr>
            </w:pPr>
            <w:r>
              <w:rPr>
                <w:rFonts w:ascii="宋体" w:hAnsi="宋体" w:eastAsia="宋体" w:cs="宋体"/>
                <w:color w:val="auto"/>
                <w:sz w:val="18"/>
                <w:szCs w:val="18"/>
              </w:rPr>
              <w:t>应付股利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持有待售负债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一年内到期的非流动负债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320,667.58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360,232.58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170,982,670.00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190,123,325.72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长期借款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应付债券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color w:val="auto"/>
                <w:sz w:val="18"/>
                <w:szCs w:val="18"/>
              </w:rPr>
            </w:pPr>
            <w:r>
              <w:rPr>
                <w:rFonts w:ascii="宋体" w:hAnsi="宋体" w:eastAsia="宋体" w:cs="宋体"/>
                <w:color w:val="auto"/>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长期应付职工薪酬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预计负债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递延收益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2,607,180.49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3,123,605.06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2,643,424.80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3,326,801.66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非流动负债合计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5,250,605.29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6,450,406.72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176,233,275.29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196,573,732.44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所有者权益：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股本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168,877,148.00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169,032,648.00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其他权益工具</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color w:val="auto"/>
                <w:sz w:val="18"/>
                <w:szCs w:val="18"/>
              </w:rPr>
            </w:pPr>
            <w:r>
              <w:rPr>
                <w:rFonts w:ascii="宋体" w:hAnsi="宋体" w:eastAsia="宋体" w:cs="宋体"/>
                <w:color w:val="auto"/>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资本公积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182,828,243.40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179,252,645.34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减：库存股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10,370,085.90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17,675,679.85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专项储备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72,093,311.38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58,404,405.20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349,337,769.70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285,094,946.78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762,766,386.58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674,108,965.47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负债和所有者权益总计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938,999,661.87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870,682,697.91</w:t>
            </w:r>
          </w:p>
        </w:tc>
      </w:tr>
    </w:tbl>
    <w:p>
      <w:pPr>
        <w:keepNext/>
        <w:keepLines/>
        <w:spacing w:before="300" w:after="300" w:line="280" w:lineRule="exact"/>
        <w:jc w:val="left"/>
        <w:outlineLvl w:val="2"/>
        <w:rPr>
          <w:rFonts w:ascii="宋体" w:hAnsi="宋体" w:eastAsia="宋体" w:cs="宋体"/>
          <w:b/>
          <w:bCs/>
          <w:color w:val="auto"/>
          <w:sz w:val="21"/>
          <w:szCs w:val="21"/>
        </w:rPr>
      </w:pPr>
      <w:bookmarkStart w:id="15" w:name="_Toc989039"/>
      <w:r>
        <w:rPr>
          <w:rFonts w:ascii="宋体" w:hAnsi="宋体" w:eastAsia="宋体" w:cs="宋体"/>
          <w:b/>
          <w:bCs/>
          <w:color w:val="auto"/>
          <w:sz w:val="21"/>
          <w:szCs w:val="21"/>
        </w:rPr>
        <w:t>3、合并利润表</w:t>
      </w:r>
      <w:bookmarkEnd w:id="15"/>
    </w:p>
    <w:p>
      <w:pPr>
        <w:spacing w:before="40" w:after="40" w:line="240" w:lineRule="exact"/>
        <w:jc w:val="right"/>
        <w:rPr>
          <w:rFonts w:ascii="宋体" w:hAnsi="宋体" w:eastAsia="宋体" w:cs="宋体"/>
          <w:color w:val="auto"/>
          <w:sz w:val="18"/>
          <w:szCs w:val="18"/>
        </w:rPr>
      </w:pPr>
      <w:r>
        <w:rPr>
          <w:rFonts w:ascii="宋体" w:hAnsi="宋体" w:eastAsia="宋体" w:cs="宋体"/>
          <w:color w:val="auto"/>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2022年度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2021年度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一、营业总收入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540,141,645.64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415,162,743.70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其中：营业收入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540,141,645.64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415,162,743.70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已赚保费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手续费及佣金收入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二、营业总成本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425,735,870.07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360,149,672.82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其中：营业成本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337,640,889.87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279,863,882.60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利息支出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手续费及佣金支出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退保金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赔付支出净额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提取保险责任合同准备金净额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保单红利支出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分保费用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税金及附加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5,359,823.88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3,857,106.19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销售费用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30,984,242.89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27,883,206.07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管理费用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32,276,080.37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21,801,211.38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研发费用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26,504,687.27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24,196,054.32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-7,029,854.21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2,548,212.26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color w:val="auto"/>
                <w:sz w:val="18"/>
                <w:szCs w:val="18"/>
              </w:rPr>
            </w:pPr>
            <w:r>
              <w:rPr>
                <w:rFonts w:ascii="宋体" w:hAnsi="宋体" w:eastAsia="宋体" w:cs="宋体"/>
                <w:color w:val="auto"/>
                <w:sz w:val="18"/>
                <w:szCs w:val="18"/>
              </w:rPr>
              <w:t>其中：利息费用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1,198,249.99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1,021,052.77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ascii="宋体" w:hAnsi="宋体" w:eastAsia="宋体" w:cs="宋体"/>
                <w:color w:val="auto"/>
                <w:sz w:val="18"/>
                <w:szCs w:val="18"/>
              </w:rPr>
            </w:pPr>
            <w:r>
              <w:rPr>
                <w:rFonts w:ascii="宋体" w:hAnsi="宋体" w:eastAsia="宋体" w:cs="宋体"/>
                <w:color w:val="auto"/>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471,144.35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275,540.94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加：其他收益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3,406,501.28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3,151,472.34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投资收益（损失以“－”号填列）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49,325,674.62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15,915,730.99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color w:val="auto"/>
                <w:sz w:val="18"/>
                <w:szCs w:val="18"/>
              </w:rPr>
            </w:pPr>
            <w:r>
              <w:rPr>
                <w:rFonts w:ascii="宋体" w:hAnsi="宋体" w:eastAsia="宋体" w:cs="宋体"/>
                <w:color w:val="auto"/>
                <w:sz w:val="18"/>
                <w:szCs w:val="18"/>
              </w:rPr>
              <w:t>其中：对联营企业和合营企业的投资收益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ascii="宋体" w:hAnsi="宋体" w:eastAsia="宋体" w:cs="宋体"/>
                <w:color w:val="auto"/>
                <w:sz w:val="18"/>
                <w:szCs w:val="18"/>
              </w:rPr>
            </w:pPr>
            <w:r>
              <w:rPr>
                <w:rFonts w:ascii="宋体" w:hAnsi="宋体" w:eastAsia="宋体" w:cs="宋体"/>
                <w:color w:val="auto"/>
                <w:sz w:val="18"/>
                <w:szCs w:val="18"/>
              </w:rPr>
              <w:t>以摊余成本计量的金融资产终止确认收益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汇兑收益（损失以“-”号填列）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净敞口套期收益（损失以“－”号填列）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公允价值变动收益（损失以“－”号填列）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-8,382,050.30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-3,366,653.30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信用减值损失（损失以“-”号填列）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-1,207,413.11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-2,418,143.88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资产减值损失（损失以“-”号填列）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-2,542,351.41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-2,339,868.91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资产处置收益（损失以“-”号填列）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41,113.72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144,039.41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三、营业利润（亏损以“－”号填列）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155,047,250.37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66,099,647.53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加：营业外收入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153,677.97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1,548,589.44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减：营业外支出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446,845.90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112,503.86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四、利润总额（亏损总额以“－”号填列）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154,754,082.44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67,535,733.11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减：所得税费用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21,127,031.51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6,542,244.32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五、净利润（净亏损以“－”号填列）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133,627,050.93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60,993,488.79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（一）按经营持续性分类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1.持续经营净利润（净亏损以“－”号填列）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133,627,050.93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60,993,488.79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2.终止经营净利润（净亏损以“－”号填列）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（二）按所有权归属分类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1.归属于母公司股东的净利润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136,205,068.76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60,993,488.79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2.少数股东损益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-2,578,017.83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六、其他综合收益的税后净额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-62,518.48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40,020.89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归属母公司所有者的其他综合收益的税后净额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-62,518.48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40,020.89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（一）不能重分类进损益的其他综合收益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1.重新计量设定受益计划变动额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2.权益法下不能转损益的其他综合收益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3.其他权益工具投资公允价值变动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4.企业自身信用风险公允价值变动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5.其他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（二）将重分类进损益的其他综合收益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-62,518.48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40,020.89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1.权益法下可转损益的其他综合收益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2.其他债权投资公允价值变动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3.金融资产重分类计入其他综合收益的金额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4.其他债权投资信用减值准备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5.现金流量套期储备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6.外币财务报表折算差额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-62,518.48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40,020.89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7.其他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归属于少数股东的其他综合收益的税后净额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七、综合收益总额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133,564,532.45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61,033,509.68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归属于母公司所有者的综合收益总额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136,142,550.28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61,033,509.68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归属于少数股东的综合收益总额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-2,578,017.83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八、每股收益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（一）基本每股收益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（二）稀释每股收益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0.36</w:t>
            </w:r>
          </w:p>
        </w:tc>
      </w:tr>
    </w:tbl>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本期发生同一控制下企业合并的，被合并方在合并前实现的净利润为：元，上期被合并方实现的净利润为：元。</w:t>
      </w:r>
    </w:p>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法定代表人：范庆伟    主管会计工作负责人：迟娜娜    会计机构负责人：王涛</w:t>
      </w:r>
    </w:p>
    <w:p>
      <w:pPr>
        <w:keepNext/>
        <w:keepLines/>
        <w:spacing w:before="300" w:after="300" w:line="280" w:lineRule="exact"/>
        <w:jc w:val="left"/>
        <w:outlineLvl w:val="2"/>
        <w:rPr>
          <w:rFonts w:ascii="宋体" w:hAnsi="宋体" w:eastAsia="宋体" w:cs="宋体"/>
          <w:b/>
          <w:bCs/>
          <w:color w:val="auto"/>
          <w:sz w:val="21"/>
          <w:szCs w:val="21"/>
        </w:rPr>
      </w:pPr>
      <w:bookmarkStart w:id="16" w:name="_Toc989040"/>
      <w:r>
        <w:rPr>
          <w:rFonts w:ascii="宋体" w:hAnsi="宋体" w:eastAsia="宋体" w:cs="宋体"/>
          <w:b/>
          <w:bCs/>
          <w:color w:val="auto"/>
          <w:sz w:val="21"/>
          <w:szCs w:val="21"/>
        </w:rPr>
        <w:t>4、母公司利润表</w:t>
      </w:r>
      <w:bookmarkEnd w:id="16"/>
    </w:p>
    <w:p>
      <w:pPr>
        <w:spacing w:before="40" w:after="40" w:line="240" w:lineRule="exact"/>
        <w:jc w:val="right"/>
        <w:rPr>
          <w:rFonts w:ascii="宋体" w:hAnsi="宋体" w:eastAsia="宋体" w:cs="宋体"/>
          <w:color w:val="auto"/>
          <w:sz w:val="18"/>
          <w:szCs w:val="18"/>
        </w:rPr>
      </w:pPr>
      <w:r>
        <w:rPr>
          <w:rFonts w:ascii="宋体" w:hAnsi="宋体" w:eastAsia="宋体" w:cs="宋体"/>
          <w:color w:val="auto"/>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2022年度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2021年度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一、营业收入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522,680,921.36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374,136,456.46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减：营业成本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345,532,552.17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255,163,228.65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税金及附加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3,291,391.99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1,904,025.71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销售费用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31,209,525.40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28,196,995.86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管理费用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20,764,886.23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10,636,180.37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研发费用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17,922,561.67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14,379,675.16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-6,813,359.73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2,511,396.37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其中：利息费用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1,198,249.99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1,021,052.77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260" w:firstLineChars="700"/>
              <w:jc w:val="left"/>
              <w:rPr>
                <w:rFonts w:ascii="宋体" w:hAnsi="宋体" w:eastAsia="宋体" w:cs="宋体"/>
                <w:color w:val="auto"/>
                <w:sz w:val="18"/>
                <w:szCs w:val="18"/>
              </w:rPr>
            </w:pPr>
            <w:r>
              <w:rPr>
                <w:rFonts w:ascii="宋体" w:hAnsi="宋体" w:eastAsia="宋体" w:cs="宋体"/>
                <w:color w:val="auto"/>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417,571.78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226,184.57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加：其他收益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1,504,403.59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1,450,368.83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投资收益（损失以“－”号填列）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49,341,985.21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15,450,319.40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其中：对联营企业和合营企业的投资收益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260" w:firstLineChars="700"/>
              <w:jc w:val="left"/>
              <w:rPr>
                <w:rFonts w:ascii="宋体" w:hAnsi="宋体" w:eastAsia="宋体" w:cs="宋体"/>
                <w:color w:val="auto"/>
                <w:sz w:val="18"/>
                <w:szCs w:val="18"/>
              </w:rPr>
            </w:pPr>
            <w:r>
              <w:rPr>
                <w:rFonts w:ascii="宋体" w:hAnsi="宋体" w:eastAsia="宋体" w:cs="宋体"/>
                <w:color w:val="auto"/>
                <w:sz w:val="18"/>
                <w:szCs w:val="18"/>
              </w:rPr>
              <w:t>以摊余成本计量的金融资产终止确认收益（损失以“-”号填列）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净敞口套期收益（损失以“－”号填列）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公允价值变动收益（损失以“－”号填列）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-1,997,510.45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-3,291,168.37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信用减值损失（损失以“-”号填列）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349,325.79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-1,068,135.62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资产减值损失（损失以“-”号填列）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-990,246.35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-743,325.22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资产处置收益（损失以“-”号填列）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26,106.17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35,875.95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二、营业利润（亏损以“－”号填列）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159,007,427.59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73,178,889.31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加：营业外收入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56,956.54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618,746.96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减：营业外支出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1,813,576.54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46,177.66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三、利润总额（亏损总额以“－”号填列）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157,250,807.59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73,751,458.61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减：所得税费用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20,361,745.79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9,433,343.98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四、净利润（净亏损以“－”号填列）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136,889,061.80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64,318,114.63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（一）持续经营净利润（净亏损以“－”号填列）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136,889,061.80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64,318,114.63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（二）终止经营净利润（净亏损以“－”号填列）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五、其他综合收益的税后净额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（一）不能重分类进损益的其他综合收益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1.重新计量设定受益计划变动额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2.权益法下不能转损益的其他综合收益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3.其他权益工具投资公允价值变动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4.企业自身信用风险公允价值变动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5.其他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（二）将重分类进损益的其他综合收益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1.权益法下可转损益的其他综合收益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2.其他债权投资公允价值变动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3.金融资产重分类计入其他综合收益的金额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4.其他债权投资信用减值准备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5.现金流量套期储备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6.外币财务报表折算差额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color w:val="auto"/>
                <w:sz w:val="18"/>
                <w:szCs w:val="18"/>
              </w:rPr>
            </w:pPr>
            <w:r>
              <w:rPr>
                <w:rFonts w:ascii="宋体" w:hAnsi="宋体" w:eastAsia="宋体" w:cs="宋体"/>
                <w:color w:val="auto"/>
                <w:sz w:val="18"/>
                <w:szCs w:val="18"/>
              </w:rPr>
              <w:t>7.其他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六、综合收益总额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136,889,061.80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64,318,114.63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七、每股收益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（一）基本每股收益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（二）稀释每股收益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bl>
    <w:p>
      <w:pPr>
        <w:keepNext/>
        <w:keepLines/>
        <w:spacing w:before="300" w:after="300" w:line="280" w:lineRule="exact"/>
        <w:jc w:val="left"/>
        <w:outlineLvl w:val="2"/>
        <w:rPr>
          <w:rFonts w:ascii="宋体" w:hAnsi="宋体" w:eastAsia="宋体" w:cs="宋体"/>
          <w:b/>
          <w:bCs/>
          <w:color w:val="auto"/>
          <w:sz w:val="21"/>
          <w:szCs w:val="21"/>
        </w:rPr>
      </w:pPr>
      <w:bookmarkStart w:id="17" w:name="_Toc989041"/>
      <w:r>
        <w:rPr>
          <w:rFonts w:ascii="宋体" w:hAnsi="宋体" w:eastAsia="宋体" w:cs="宋体"/>
          <w:b/>
          <w:bCs/>
          <w:color w:val="auto"/>
          <w:sz w:val="21"/>
          <w:szCs w:val="21"/>
        </w:rPr>
        <w:t>5、合并现金流量表</w:t>
      </w:r>
      <w:bookmarkEnd w:id="17"/>
    </w:p>
    <w:p>
      <w:pPr>
        <w:spacing w:before="40" w:after="40" w:line="240" w:lineRule="exact"/>
        <w:jc w:val="right"/>
        <w:rPr>
          <w:rFonts w:ascii="宋体" w:hAnsi="宋体" w:eastAsia="宋体" w:cs="宋体"/>
          <w:color w:val="auto"/>
          <w:sz w:val="18"/>
          <w:szCs w:val="18"/>
        </w:rPr>
      </w:pPr>
      <w:r>
        <w:rPr>
          <w:rFonts w:ascii="宋体" w:hAnsi="宋体" w:eastAsia="宋体" w:cs="宋体"/>
          <w:color w:val="auto"/>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color w:val="auto"/>
                <w:sz w:val="18"/>
                <w:szCs w:val="18"/>
              </w:rPr>
            </w:pPr>
            <w:r>
              <w:rPr>
                <w:rFonts w:ascii="宋体" w:hAnsi="宋体" w:eastAsia="宋体" w:cs="宋体"/>
                <w:color w:val="auto"/>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color w:val="auto"/>
                <w:sz w:val="18"/>
                <w:szCs w:val="18"/>
              </w:rPr>
            </w:pPr>
            <w:r>
              <w:rPr>
                <w:rFonts w:ascii="宋体" w:hAnsi="宋体" w:eastAsia="宋体" w:cs="宋体"/>
                <w:color w:val="auto"/>
                <w:sz w:val="18"/>
                <w:szCs w:val="18"/>
              </w:rPr>
              <w:t>2022年度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color w:val="auto"/>
                <w:sz w:val="18"/>
                <w:szCs w:val="18"/>
              </w:rPr>
            </w:pPr>
            <w:r>
              <w:rPr>
                <w:rFonts w:ascii="宋体" w:hAnsi="宋体" w:eastAsia="宋体" w:cs="宋体"/>
                <w:color w:val="auto"/>
                <w:sz w:val="18"/>
                <w:szCs w:val="18"/>
              </w:rPr>
              <w:t>2021年度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一、经营活动产生的现金流量：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销售商品、提供劳务收到的现金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500,967,453.81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387,470,720.37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客户存款和同业存放款项净增加额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向中央银行借款净增加额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向其他金融机构拆入资金净增加额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收到原保险合同保费取得的现金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收到再保业务现金净额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保户储金及投资款净增加额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收取利息、手续费及佣金的现金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回购业务资金净增加额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代理买卖证券收到的现金净额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收到的税费返还</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32,837,027.71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24,194,897.56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收到其他与经营活动有关的现金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7,114,683.64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9,329,530.76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经营活动现金流入小计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540,919,165.16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420,995,148.69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购买商品、接受劳务支付的现金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268,504,688.03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301,805,573.58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客户贷款及垫款净增加额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存放中央银行和同业款项净增加额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支付原保险合同赔付款项的现金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拆出资金净增加额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支付利息、手续费及佣金的现金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支付保单红利的现金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支付给职工以及为职工支付的现金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75,949,631.02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64,314,248.55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支付的各项税费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25,879,682.00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11,901,262.76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支付其他与经营活动有关的现金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35,877,297.33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31,586,734.29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经营活动现金流出小计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406,211,298.38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409,607,819.18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经营活动产生的现金流量净额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134,707,866.78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11,387,329.51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二、投资活动产生的现金流量：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收回投资收到的现金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351,600,000.00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445,874,500.62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取得投资收益收到的现金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8,005,546.56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15,560,540.03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处置固定资产、无形资产和其他长期资产收回的现金净额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2,590,694.35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1,085,316.80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处置子公司及其他营业单位收到的现金净额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23,790,756.71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收到其他与投资活动有关的现金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投资活动现金流入小计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385,986,997.62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472,520,357.45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购建固定资产、无形资产和其他长期资产支付的现金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11,855,851.90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19,577,653.08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投资支付的现金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408,500,000.00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360,000,000.00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质押贷款净增加额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取得子公司及其他营业单位支付的现金净额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支付其他与投资活动有关的现金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投资活动现金流出小计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430,355,851.90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379,577,653.08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投资活动产生的现金流量净额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-44,368,854.28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92,942,704.37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三、筹资活动产生的现金流量：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吸收投资收到的现金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24,500,000.00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其中：子公司吸收少数股东投资收到的现金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取得借款收到的现金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49,000,000.00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收到其他与筹资活动有关的现金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1,988,460.90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13,600,000.00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筹资活动现金流入小计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111,988,460.90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87,100,000.00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偿还债务支付的现金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71,000,000.00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66,859,209.49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分配股利、利润或偿付利息支付的现金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60,200,841.02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53,309,375.00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其中：子公司支付给少数股东的股利、利润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支付其他与筹资活动有关的现金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723,075.00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30,850,226.80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筹资活动现金流出小计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131,923,916.02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151,018,811.29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筹资活动产生的现金流量净额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-19,935,455.12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-63,918,811.29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四、汇率变动对现金及现金等价物的影响</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2,386,674.41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-677,066.42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五、现金及现金等价物净增加额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72,790,231.79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39,734,156.17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加：期初现金及现金等价物余额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80,991,568.72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41,257,412.55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六、期末现金及现金等价物余额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153,781,800.51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80,991,568.72</w:t>
            </w:r>
          </w:p>
        </w:tc>
      </w:tr>
    </w:tbl>
    <w:p>
      <w:pPr>
        <w:keepNext/>
        <w:keepLines/>
        <w:spacing w:before="300" w:after="300" w:line="280" w:lineRule="exact"/>
        <w:jc w:val="left"/>
        <w:outlineLvl w:val="2"/>
        <w:rPr>
          <w:rFonts w:ascii="宋体" w:hAnsi="宋体" w:eastAsia="宋体" w:cs="宋体"/>
          <w:b/>
          <w:bCs/>
          <w:color w:val="auto"/>
          <w:sz w:val="21"/>
          <w:szCs w:val="21"/>
        </w:rPr>
      </w:pPr>
      <w:bookmarkStart w:id="18" w:name="_Toc989042"/>
      <w:r>
        <w:rPr>
          <w:rFonts w:ascii="宋体" w:hAnsi="宋体" w:eastAsia="宋体" w:cs="宋体"/>
          <w:b/>
          <w:bCs/>
          <w:color w:val="auto"/>
          <w:sz w:val="21"/>
          <w:szCs w:val="21"/>
        </w:rPr>
        <w:t>6、母公司现金流量表</w:t>
      </w:r>
      <w:bookmarkEnd w:id="18"/>
    </w:p>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color w:val="auto"/>
                <w:sz w:val="18"/>
                <w:szCs w:val="18"/>
              </w:rPr>
            </w:pPr>
            <w:r>
              <w:rPr>
                <w:rFonts w:ascii="宋体" w:hAnsi="宋体" w:eastAsia="宋体" w:cs="宋体"/>
                <w:color w:val="auto"/>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color w:val="auto"/>
                <w:sz w:val="18"/>
                <w:szCs w:val="18"/>
              </w:rPr>
            </w:pPr>
            <w:r>
              <w:rPr>
                <w:rFonts w:ascii="宋体" w:hAnsi="宋体" w:eastAsia="宋体" w:cs="宋体"/>
                <w:color w:val="auto"/>
                <w:sz w:val="18"/>
                <w:szCs w:val="18"/>
              </w:rPr>
              <w:t>2022年度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color w:val="auto"/>
                <w:sz w:val="18"/>
                <w:szCs w:val="18"/>
              </w:rPr>
            </w:pPr>
            <w:r>
              <w:rPr>
                <w:rFonts w:ascii="宋体" w:hAnsi="宋体" w:eastAsia="宋体" w:cs="宋体"/>
                <w:color w:val="auto"/>
                <w:sz w:val="18"/>
                <w:szCs w:val="18"/>
              </w:rPr>
              <w:t>2021年度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一、经营活动产生的现金流量：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销售商品、提供劳务收到的现金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523,417,241.00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340,999,432.30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收到的税费返还</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32,631,529.66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23,381,427.98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收到其他与经营活动有关的现金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1,425,947.34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12,117,957.14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经营活动现金流入小计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557,474,718.00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376,498,817.42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购买商品、接受劳务支付的现金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333,136,400.85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311,161,344.31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支付给职工以及为职工支付的现金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39,258,679.89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33,227,008.07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支付的各项税费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17,810,784.66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8,352,652.37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支付其他与经营活动有关的现金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34,616,906.60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29,945,558.87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经营活动现金流出小计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424,822,772.00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382,686,563.62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经营活动产生的现金流量净额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132,651,946.00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-6,187,746.20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二、投资活动产生的现金流量：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收回投资收到的现金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336,000,000.00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463,244,000.00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取得投资收益收到的现金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7,853,815.89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15,282,669.05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处置固定资产、无形资产和其他长期资产收回的现金净额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2,369,673.18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157,656.80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处置子公司及其他营业单位收到的现金净额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25,500,000.00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收到其他与投资活动有关的现金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投资活动现金流入小计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371,723,489.07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488,684,325.85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购建固定资产、无形资产和其他长期资产支付的现金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3,798,212.33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6,438,596.84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投资支付的现金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291,200,000.00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353,318,465.00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取得子公司及其他营业单位支付的现金净额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支付其他与投资活动有关的现金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投资活动现金流出小计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364,998,212.33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359,757,061.84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投资活动产生的现金流量净额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6,725,276.74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128,927,264.01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三、筹资活动产生的现金流量：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吸收投资收到的现金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取得借款收到的现金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49,000,000.00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收到其他与筹资活动有关的现金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1,988,460.90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13,600,000.00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筹资活动现金流入小计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71,988,460.90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62,600,000.00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偿还债务支付的现金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71,000,000.00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66,859,209.49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分配股利、利润或偿付利息支付的现金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60,200,841.02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53,309,375.00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支付其他与筹资活动有关的现金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723,075.00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30,850,226.80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筹资活动现金流出小计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131,923,916.02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151,018,811.29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筹资活动产生的现金流量净额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-59,935,455.12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-88,418,811.29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四、汇率变动对现金及现金等价物的影响</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2,315,255.67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-625,543.97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五、现金及现金等价物净增加额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81,757,023.29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33,695,162.55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color w:val="auto"/>
                <w:sz w:val="18"/>
                <w:szCs w:val="18"/>
              </w:rPr>
            </w:pPr>
            <w:r>
              <w:rPr>
                <w:rFonts w:ascii="宋体" w:hAnsi="宋体" w:eastAsia="宋体" w:cs="宋体"/>
                <w:color w:val="auto"/>
                <w:sz w:val="18"/>
                <w:szCs w:val="18"/>
              </w:rPr>
              <w:t>加：期初现金及现金等价物余额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65,415,374.25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31,720,211.70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六、期末现金及现金等价物余额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147,172,397.54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65,415,374.25</w:t>
            </w:r>
          </w:p>
        </w:tc>
      </w:tr>
    </w:tbl>
    <w:p>
      <w:pPr>
        <w:keepNext/>
        <w:keepLines/>
        <w:spacing w:before="300" w:after="300" w:line="280" w:lineRule="exact"/>
        <w:jc w:val="left"/>
        <w:outlineLvl w:val="2"/>
        <w:rPr>
          <w:rFonts w:ascii="宋体" w:hAnsi="宋体" w:eastAsia="宋体" w:cs="宋体"/>
          <w:b/>
          <w:bCs/>
          <w:color w:val="auto"/>
          <w:sz w:val="21"/>
          <w:szCs w:val="21"/>
        </w:rPr>
      </w:pPr>
      <w:bookmarkStart w:id="19" w:name="_Toc989043"/>
      <w:r>
        <w:rPr>
          <w:rFonts w:ascii="宋体" w:hAnsi="宋体" w:eastAsia="宋体" w:cs="宋体"/>
          <w:b/>
          <w:bCs/>
          <w:color w:val="auto"/>
          <w:sz w:val="21"/>
          <w:szCs w:val="21"/>
        </w:rPr>
        <w:t>7、合并所有者权益变动表</w:t>
      </w:r>
      <w:bookmarkEnd w:id="19"/>
    </w:p>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本期金额</w:t>
      </w:r>
    </w:p>
    <w:p>
      <w:pPr>
        <w:spacing w:before="120" w:after="120" w:line="240" w:lineRule="exact"/>
        <w:jc w:val="right"/>
        <w:rPr>
          <w:rFonts w:ascii="宋体" w:hAnsi="宋体" w:eastAsia="宋体" w:cs="宋体"/>
          <w:color w:val="auto"/>
          <w:sz w:val="18"/>
          <w:szCs w:val="18"/>
        </w:rPr>
      </w:pPr>
      <w:r>
        <w:rPr>
          <w:rFonts w:ascii="宋体" w:hAnsi="宋体" w:eastAsia="宋体" w:cs="宋体"/>
          <w:color w:val="auto"/>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02"/>
        <w:gridCol w:w="602"/>
        <w:gridCol w:w="602"/>
        <w:gridCol w:w="602"/>
        <w:gridCol w:w="602"/>
        <w:gridCol w:w="602"/>
        <w:gridCol w:w="602"/>
        <w:gridCol w:w="602"/>
        <w:gridCol w:w="602"/>
        <w:gridCol w:w="602"/>
        <w:gridCol w:w="602"/>
        <w:gridCol w:w="602"/>
        <w:gridCol w:w="602"/>
        <w:gridCol w:w="602"/>
        <w:gridCol w:w="602"/>
        <w:gridCol w:w="6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项目</w:t>
            </w:r>
          </w:p>
        </w:tc>
        <w:tc>
          <w:tcPr>
            <w:tcW w:w="9037" w:type="dxa"/>
            <w:gridSpan w:val="1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2022年度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7832" w:type="dxa"/>
            <w:gridSpan w:val="1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归属于母公司所有者权益</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0" w:lineRule="exact"/>
              <w:jc w:val="center"/>
              <w:rPr>
                <w:rFonts w:ascii="宋体" w:hAnsi="宋体" w:eastAsia="宋体" w:cs="宋体"/>
                <w:color w:val="auto"/>
                <w:sz w:val="18"/>
                <w:szCs w:val="18"/>
              </w:rPr>
            </w:pPr>
            <w:r>
              <w:rPr>
                <w:rFonts w:ascii="宋体" w:hAnsi="宋体" w:eastAsia="宋体" w:cs="宋体"/>
                <w:color w:val="auto"/>
                <w:sz w:val="18"/>
                <w:szCs w:val="18"/>
              </w:rPr>
              <w:t>少数股东权益</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股本</w:t>
            </w:r>
          </w:p>
        </w:tc>
        <w:tc>
          <w:tcPr>
            <w:tcW w:w="1807"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其他权益工具</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资本公积</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减：库存股</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其他综合收益</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专项储备</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盈余公积</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一般风险准备</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未分配利润</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其他</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小计</w:t>
            </w: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优先股</w:t>
            </w:r>
          </w:p>
        </w:tc>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永续债</w:t>
            </w:r>
          </w:p>
        </w:tc>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其他</w:t>
            </w: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一、上年期末余额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169,032,648.00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181,594,520.64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17,675,679.85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56,755.28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58,404,405.20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254,565,955.29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645,978,604.56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645,978,604.56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加：会计政策变更</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前期差错更正</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同一控制下企业合并</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二、本年期初余额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169,032,648.00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181,594,520.64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17,675,679.85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56,755.28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58,404,405.20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254,565,955.29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645,978,604.56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645,978,604.56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三、本期增减变动金额（减少以“－”号填列）</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-155,500.00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3,575,598.06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-7,305,593.95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-62,518.48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13,688,906.18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63,558,829.88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87,910,909.59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37,427,342.76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125,338,252.35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（一）综合收益总额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-62,518.48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136,205,068.76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136,142,550.28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-2,578,017.83</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133,564,532.45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（二）所有者投入和减少资本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-155,500.00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3,575,598.06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-7,305,593.95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10,725,692.01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40,000,000.00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50,725,692.01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1．所有者投入的普通股</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-622,000.00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-622,000.00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40,000,000.00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39,378,000.00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2．其他权益工具持有者投入资本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3．股份支付计入所有者权益的金额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6,284,817.01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-3,229,914.10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9,514,731.11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9,514,731.11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4．其他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-155,500.00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-2,087,218.95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-4,075,679.85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1,832,960.90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1,832,960.90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（三）利润分配</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13,688,906.18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-72,646,238.88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-58,957,332.70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5,360.59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-58,951,972.11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1．提取盈余公积</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13,688,906.18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-13,688,906.18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2．提取一般风险准备</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3．对所有者（或股东）的分配</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-58,957,332.70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-58,957,332.70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-58,957,332.70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4．其他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5,360.59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5,360.59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（四）所有者权益内部结转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1．资本公积转增资本（或股本）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2．盈余公积转增资本（或股本）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3．盈余公积弥补亏损</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4．设定受益计划变动额结转留存收益</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5．其他综合收益结转留存收益</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6．其他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（五）专项储备</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1．本期提取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2．本期使用</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（六）其他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四、本期期末余额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168,877,148.00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185,170,118.70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10,370,085.90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-5,763.20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72,093,311.38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318,124,785.17</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733,889,514.15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37,427,342.76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771,316,856.91</w:t>
            </w:r>
          </w:p>
        </w:tc>
      </w:tr>
    </w:tbl>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上期金额</w:t>
      </w:r>
    </w:p>
    <w:p>
      <w:pPr>
        <w:spacing w:before="120" w:after="120" w:line="240" w:lineRule="exact"/>
        <w:jc w:val="right"/>
        <w:rPr>
          <w:rFonts w:ascii="宋体" w:hAnsi="宋体" w:eastAsia="宋体" w:cs="宋体"/>
          <w:color w:val="auto"/>
          <w:sz w:val="18"/>
          <w:szCs w:val="18"/>
        </w:rPr>
      </w:pPr>
      <w:r>
        <w:rPr>
          <w:rFonts w:ascii="宋体" w:hAnsi="宋体" w:eastAsia="宋体" w:cs="宋体"/>
          <w:color w:val="auto"/>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02"/>
        <w:gridCol w:w="602"/>
        <w:gridCol w:w="602"/>
        <w:gridCol w:w="602"/>
        <w:gridCol w:w="602"/>
        <w:gridCol w:w="602"/>
        <w:gridCol w:w="602"/>
        <w:gridCol w:w="602"/>
        <w:gridCol w:w="602"/>
        <w:gridCol w:w="602"/>
        <w:gridCol w:w="602"/>
        <w:gridCol w:w="602"/>
        <w:gridCol w:w="602"/>
        <w:gridCol w:w="602"/>
        <w:gridCol w:w="602"/>
        <w:gridCol w:w="6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项目</w:t>
            </w:r>
          </w:p>
        </w:tc>
        <w:tc>
          <w:tcPr>
            <w:tcW w:w="9037" w:type="dxa"/>
            <w:gridSpan w:val="1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2021年度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7832" w:type="dxa"/>
            <w:gridSpan w:val="1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归属于母公司所有者权益</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少数股东权益</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股本</w:t>
            </w:r>
          </w:p>
        </w:tc>
        <w:tc>
          <w:tcPr>
            <w:tcW w:w="1807"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其他权益工具</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资本公积</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减：库存股</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其他综合收益</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专项储备</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盈余公积</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一般风险准备</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未分配利润</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其他</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小计</w:t>
            </w: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优先股</w:t>
            </w:r>
          </w:p>
        </w:tc>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永续债</w:t>
            </w:r>
          </w:p>
        </w:tc>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其他</w:t>
            </w: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一、上年期末余额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116,680,000.00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245,900,770.45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3,835,944.00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16,734.39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51,972,593.74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252,498,577.96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663,232,732.54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663,232,732.54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加：会计政策变更</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前期差错更正</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同一控制下企业合并</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二、本年期初余额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116,680,000.00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245,900,770.45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3,835,944.00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16,734.39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51,972,593.74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252,498,577.96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663,232,732.54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663,232,732.54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三、本期增减变动金额（减少以“－”号填列）</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52,352,648.00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-64,306,249.81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13,839,735.85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40,020.89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6,431,811.46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2,067,377.33</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-17,254,127.98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-17,254,127.98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（一）综合收益总额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40,020.89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60,993,488.79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61,033,509.68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61,033,509.68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（二）所有者投入和减少资本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-153,352.00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-11,800,249.81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13,839,735.85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-25,793,337.66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-25,793,337.66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1．所有者投入的普通股</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-153,352.00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-622,000.00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-850,376.80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-850,376.80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2．其他权益工具持有者投入资本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3．股份支付计入所有者权益的金额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1,220,945.14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9,764,056.00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-8,543,110.86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-8,543,110.86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4．其他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-12,324,170.15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4,075,679.85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-16,399,850.00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-16,399,850.00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（三）利润分配</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6,431,811.46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-58,926,111.46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-52,494,300.00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-52,494,300.00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1．提取盈余公积</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6,431,811.46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-6,431,811.46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2．提取一般风险准备</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3．对所有者（或股东）的分配</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-52,494,300.00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-52,494,300.00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-52,494,300.00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4．其他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（四）所有者权益内部结转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52,506,000.00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-52,506,000.00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1．资本公积转增资本（或股本）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52,506,000.00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-52,506,000.00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2．盈余公积转增资本（或股本）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3．盈余公积弥补亏损</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4．设定受益计划变动额结转留存收益</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5．其他综合收益结转留存收益</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6．其他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（五）专项储备</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1．本期提取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2．本期使用</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（六）其他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四、本期期末余额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169,032,648.00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181,594,520.64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17,675,679.85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56,755.28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58,404,405.20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254,565,955.29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645,978,604.56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645,978,604.56</w:t>
            </w:r>
          </w:p>
        </w:tc>
      </w:tr>
    </w:tbl>
    <w:p>
      <w:pPr>
        <w:keepNext/>
        <w:keepLines/>
        <w:spacing w:before="300" w:after="300" w:line="280" w:lineRule="exact"/>
        <w:jc w:val="left"/>
        <w:outlineLvl w:val="2"/>
        <w:rPr>
          <w:rFonts w:ascii="宋体" w:hAnsi="宋体" w:eastAsia="宋体" w:cs="宋体"/>
          <w:b/>
          <w:bCs/>
          <w:color w:val="auto"/>
          <w:sz w:val="21"/>
          <w:szCs w:val="21"/>
        </w:rPr>
      </w:pPr>
      <w:bookmarkStart w:id="20" w:name="_Toc989044"/>
      <w:r>
        <w:rPr>
          <w:rFonts w:ascii="宋体" w:hAnsi="宋体" w:eastAsia="宋体" w:cs="宋体"/>
          <w:b/>
          <w:bCs/>
          <w:color w:val="auto"/>
          <w:sz w:val="21"/>
          <w:szCs w:val="21"/>
        </w:rPr>
        <w:t>8、母公司所有者权益变动表</w:t>
      </w:r>
      <w:bookmarkEnd w:id="20"/>
    </w:p>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本期金额</w:t>
      </w:r>
    </w:p>
    <w:p>
      <w:pPr>
        <w:spacing w:before="120" w:after="120" w:line="240" w:lineRule="exact"/>
        <w:jc w:val="right"/>
        <w:rPr>
          <w:rFonts w:ascii="宋体" w:hAnsi="宋体" w:eastAsia="宋体" w:cs="宋体"/>
          <w:color w:val="auto"/>
          <w:sz w:val="18"/>
          <w:szCs w:val="18"/>
        </w:rPr>
      </w:pPr>
      <w:r>
        <w:rPr>
          <w:rFonts w:ascii="宋体" w:hAnsi="宋体" w:eastAsia="宋体" w:cs="宋体"/>
          <w:color w:val="auto"/>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41"/>
        <w:gridCol w:w="741"/>
        <w:gridCol w:w="741"/>
        <w:gridCol w:w="741"/>
        <w:gridCol w:w="741"/>
        <w:gridCol w:w="741"/>
        <w:gridCol w:w="741"/>
        <w:gridCol w:w="741"/>
        <w:gridCol w:w="741"/>
        <w:gridCol w:w="741"/>
        <w:gridCol w:w="741"/>
        <w:gridCol w:w="741"/>
        <w:gridCol w:w="7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项目</w:t>
            </w:r>
          </w:p>
        </w:tc>
        <w:tc>
          <w:tcPr>
            <w:tcW w:w="8898"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2022年度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股本</w:t>
            </w:r>
          </w:p>
        </w:tc>
        <w:tc>
          <w:tcPr>
            <w:tcW w:w="2224"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其他权益工具</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资本公积</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减：库存股</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其他综合收益</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专项储备</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盈余公积</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未分配利润</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其他</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优先股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永续债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其他</w:t>
            </w: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741" w:type="dxa"/>
            <w:vMerge w:val="continue"/>
            <w:tcBorders>
              <w:top w:val="single" w:color="auto" w:sz="2" w:space="0"/>
              <w:left w:val="single" w:color="auto" w:sz="2" w:space="0"/>
              <w:bottom w:val="single" w:color="auto" w:sz="2" w:space="0"/>
              <w:right w:val="single" w:color="auto" w:sz="2" w:space="0"/>
            </w:tcBorders>
            <w:vAlign w:val="center"/>
          </w:tcPr>
          <w:p>
            <w:pPr>
              <w:rPr>
                <w:color w:val="auto"/>
              </w:rPr>
            </w:p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741" w:type="dxa"/>
            <w:vMerge w:val="continue"/>
            <w:tcBorders>
              <w:top w:val="single" w:color="auto" w:sz="2" w:space="0"/>
              <w:left w:val="single" w:color="auto" w:sz="2" w:space="0"/>
              <w:bottom w:val="single" w:color="auto" w:sz="2" w:space="0"/>
              <w:right w:val="single" w:color="auto" w:sz="2" w:space="0"/>
            </w:tcBorders>
            <w:vAlign w:val="center"/>
          </w:tcPr>
          <w:p>
            <w:pPr>
              <w:rPr>
                <w:color w:val="auto"/>
              </w:rPr>
            </w:p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一、上年期末余额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169,032,648.00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179,252,645.34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17,675,679.85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58,404,405.20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285,094,946.78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674,108,965.47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加：会计政策变更</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前期差错更正</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二、本年期初余额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169,032,648.00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179,252,645.34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17,675,679.85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58,404,405.20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285,094,946.78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674,108,965.47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三、本期增减变动金额（减少以“－”号填列）</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-155,500.00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3,575,598.06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-7,305,593.95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13,688,906.18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64,242,822.92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88,657,421.11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（一）综合收益总额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136,889,061.80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136,889,061.80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（二）所有者投入和减少资本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-155,500.00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3,575,598.06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-7,305,593.95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10,725,692.01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1．所有者投入的普通股</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-622,000.00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-622,000.00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2．其他权益工具持有者投入资本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3．股份支付计入所有者权益的金额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6,284,817.01</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-3,229,914.10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9,514,731.11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4．其他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-155,500.00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-2,087,218.95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-4,075,679.85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-2,242,718.95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（三）利润分配</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13,688,906.18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-72,646,238.88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-58,957,332.70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1．提取盈余公积</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13,688,906.18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-13,688,906.18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2．对所有者（或股东）的分配</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-58,957,332.70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-58,957,332.70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3．其他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（四）所有者权益内部结转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1．资本公积转增资本（或股本）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2．盈余公积转增资本（或股本）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3．盈余公积弥补亏损</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4．设定受益计划变动额结转留存收益</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5．其他综合收益结转留存收益</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6．其他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（五）专项储备</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1．本期提取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2．本期使用</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（六）其他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四、本期期末余额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168,877,148.00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182,828,243.40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10,370,085.90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72,093,311.38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349,337,769.70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762,766,386.58</w:t>
            </w:r>
          </w:p>
        </w:tc>
      </w:tr>
    </w:tbl>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上期金额</w:t>
      </w:r>
    </w:p>
    <w:p>
      <w:pPr>
        <w:spacing w:before="120" w:after="120" w:line="240" w:lineRule="exact"/>
        <w:jc w:val="right"/>
        <w:rPr>
          <w:rFonts w:ascii="宋体" w:hAnsi="宋体" w:eastAsia="宋体" w:cs="宋体"/>
          <w:color w:val="auto"/>
          <w:sz w:val="18"/>
          <w:szCs w:val="18"/>
        </w:rPr>
      </w:pPr>
      <w:r>
        <w:rPr>
          <w:rFonts w:ascii="宋体" w:hAnsi="宋体" w:eastAsia="宋体" w:cs="宋体"/>
          <w:color w:val="auto"/>
          <w:sz w:val="18"/>
          <w:szCs w:val="18"/>
        </w:rPr>
        <w:t>单位：元</w:t>
      </w:r>
    </w:p>
    <w:tbl>
      <w:tblPr>
        <w:tblStyle w:val="9"/>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41"/>
        <w:gridCol w:w="741"/>
        <w:gridCol w:w="741"/>
        <w:gridCol w:w="741"/>
        <w:gridCol w:w="741"/>
        <w:gridCol w:w="741"/>
        <w:gridCol w:w="741"/>
        <w:gridCol w:w="741"/>
        <w:gridCol w:w="741"/>
        <w:gridCol w:w="741"/>
        <w:gridCol w:w="741"/>
        <w:gridCol w:w="741"/>
        <w:gridCol w:w="7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项目</w:t>
            </w:r>
          </w:p>
        </w:tc>
        <w:tc>
          <w:tcPr>
            <w:tcW w:w="8898"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2021年度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股本</w:t>
            </w:r>
          </w:p>
        </w:tc>
        <w:tc>
          <w:tcPr>
            <w:tcW w:w="2224"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其他权益工具</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资本公积</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减：库存股</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其他综合收益</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专项储备</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盈余公积</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未分配利润</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其他</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优先股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永续债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color w:val="auto"/>
                <w:sz w:val="18"/>
                <w:szCs w:val="18"/>
              </w:rPr>
            </w:pPr>
            <w:r>
              <w:rPr>
                <w:rFonts w:ascii="宋体" w:hAnsi="宋体" w:eastAsia="宋体" w:cs="宋体"/>
                <w:color w:val="auto"/>
                <w:sz w:val="18"/>
                <w:szCs w:val="18"/>
              </w:rPr>
              <w:t>其他</w:t>
            </w: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741" w:type="dxa"/>
            <w:vMerge w:val="continue"/>
            <w:tcBorders>
              <w:top w:val="single" w:color="auto" w:sz="2" w:space="0"/>
              <w:left w:val="single" w:color="auto" w:sz="2" w:space="0"/>
              <w:bottom w:val="single" w:color="auto" w:sz="2" w:space="0"/>
              <w:right w:val="single" w:color="auto" w:sz="2" w:space="0"/>
            </w:tcBorders>
            <w:vAlign w:val="center"/>
          </w:tcPr>
          <w:p>
            <w:pPr>
              <w:rPr>
                <w:color w:val="auto"/>
              </w:rPr>
            </w:p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c>
          <w:tcPr>
            <w:tcW w:w="741" w:type="dxa"/>
            <w:vMerge w:val="continue"/>
            <w:tcBorders>
              <w:top w:val="single" w:color="auto" w:sz="2" w:space="0"/>
              <w:left w:val="single" w:color="auto" w:sz="2" w:space="0"/>
              <w:bottom w:val="single" w:color="auto" w:sz="2" w:space="0"/>
              <w:right w:val="single" w:color="auto" w:sz="2" w:space="0"/>
            </w:tcBorders>
            <w:vAlign w:val="center"/>
          </w:tcPr>
          <w:p>
            <w:pPr>
              <w:rPr>
                <w:color w:val="auto"/>
              </w:rPr>
            </w:p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一、上年期末余额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116,680,000.00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243,558,895.15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3,835,944.00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51,972,593.74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279,702,943.61</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688,078,488.50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color w:val="auto"/>
                <w:sz w:val="18"/>
                <w:szCs w:val="18"/>
              </w:rPr>
            </w:pPr>
            <w:r>
              <w:rPr>
                <w:rFonts w:ascii="宋体" w:hAnsi="宋体" w:eastAsia="宋体" w:cs="宋体"/>
                <w:color w:val="auto"/>
                <w:sz w:val="18"/>
                <w:szCs w:val="18"/>
              </w:rPr>
              <w:t>加：会计政策变更</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前期差错更正</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color w:val="auto"/>
                <w:sz w:val="18"/>
                <w:szCs w:val="18"/>
              </w:rPr>
            </w:pPr>
            <w:r>
              <w:rPr>
                <w:rFonts w:ascii="宋体" w:hAnsi="宋体" w:eastAsia="宋体" w:cs="宋体"/>
                <w:color w:val="auto"/>
                <w:sz w:val="18"/>
                <w:szCs w:val="18"/>
              </w:rPr>
              <w:t>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二、本年期初余额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116,680,000.00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243,558,895.15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3,835,944.00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51,972,593.74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279,702,943.61</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688,078,488.50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三、本期增减变动金额（减少以“－”号填列）</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52,352,648.00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-64,306,249.81</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13,839,735.85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6,431,811.46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5,392,003.17</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-13,969,523.03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（一）综合收益总额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64,318,114.63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64,318,114.63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（二）所有者投入和减少资本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-153,352.00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-11,800,249.81</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13,839,735.85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-25,793,337.66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1．所有者投入的普通股</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-153,352.00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-697,024.80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-850,376.80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2．其他权益工具持有者投入资本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3．股份支付计入所有者权益的金额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1,220,945.14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9,764,056.00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-8,543,110.86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4．其他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-12,324,170.15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4,075,679.85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-12,324,170.15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（三）利润分配</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6,431,811.46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-58,926,111.46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-52,494,300.00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1．提取盈余公积</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6,431,811.46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-6,431,811.46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2．对所有者（或股东）的分配</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-52,494,300.00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-52,494,300.00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3．其他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（四）所有者权益内部结转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52,506,000.00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-52,506,000.00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1．资本公积转增资本（或股本）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52,506,000.00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-52,506,000.00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2．盈余公积转增资本（或股本）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3．盈余公积弥补亏损</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4．设定受益计划变动额结转留存收益</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5．其他综合收益结转留存收益</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6．其他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（五）专项储备</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1．本期提取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2．本期使用</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（六）其他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color w:val="auto"/>
                <w:sz w:val="18"/>
                <w:szCs w:val="18"/>
              </w:rPr>
            </w:pPr>
            <w:r>
              <w:rPr>
                <w:rFonts w:ascii="宋体" w:hAnsi="宋体" w:eastAsia="宋体" w:cs="宋体"/>
                <w:color w:val="auto"/>
                <w:sz w:val="18"/>
                <w:szCs w:val="18"/>
              </w:rPr>
              <w:t>四、本期期末余额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169,032,648.00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179,252,645.34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17,675,679.85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58,404,405.20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285,094,946.78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color w:val="auto"/>
                <w:sz w:val="18"/>
                <w:szCs w:val="18"/>
              </w:rPr>
            </w:pPr>
            <w:r>
              <w:rPr>
                <w:rFonts w:ascii="宋体" w:hAnsi="宋体" w:eastAsia="宋体" w:cs="宋体"/>
                <w:color w:val="auto"/>
                <w:sz w:val="18"/>
                <w:szCs w:val="18"/>
              </w:rPr>
              <w:t>674,108,965.47</w:t>
            </w:r>
          </w:p>
        </w:tc>
      </w:tr>
    </w:tbl>
    <w:p>
      <w:pPr>
        <w:pStyle w:val="5"/>
        <w:spacing w:before="150" w:beforeLines="50" w:after="150" w:afterLines="50" w:line="360" w:lineRule="auto"/>
        <w:ind w:firstLine="480" w:firstLineChars="200"/>
        <w:outlineLvl w:val="0"/>
        <w:rPr>
          <w:rFonts w:ascii="宋体" w:hAnsi="宋体" w:eastAsia="宋体"/>
          <w:b/>
          <w:color w:val="auto"/>
          <w:sz w:val="24"/>
          <w:szCs w:val="24"/>
        </w:rPr>
      </w:pPr>
      <w:r>
        <w:rPr>
          <w:rFonts w:hint="eastAsia" w:ascii="宋体" w:hAnsi="宋体" w:eastAsia="宋体"/>
          <w:b/>
          <w:color w:val="auto"/>
          <w:sz w:val="24"/>
          <w:szCs w:val="24"/>
        </w:rPr>
        <w:t>一、公司基本情况</w:t>
      </w:r>
    </w:p>
    <w:p>
      <w:pPr>
        <w:spacing w:before="150" w:beforeLines="50" w:line="360" w:lineRule="auto"/>
        <w:ind w:firstLine="420" w:firstLineChars="200"/>
        <w:outlineLvl w:val="1"/>
        <w:rPr>
          <w:rFonts w:ascii="宋体" w:hAnsi="Arial"/>
          <w:b/>
          <w:color w:val="auto"/>
        </w:rPr>
      </w:pPr>
      <w:r>
        <w:rPr>
          <w:rFonts w:hint="eastAsia" w:ascii="宋体" w:hAnsi="Arial"/>
          <w:b/>
          <w:color w:val="auto"/>
        </w:rPr>
        <w:t>（一）公司概况</w:t>
      </w:r>
    </w:p>
    <w:p>
      <w:pPr>
        <w:spacing w:line="360" w:lineRule="auto"/>
        <w:ind w:firstLine="420" w:firstLineChars="200"/>
        <w:rPr>
          <w:rFonts w:ascii="宋体" w:hAnsi="宋体" w:cs="宋体"/>
          <w:snapToGrid w:val="0"/>
          <w:color w:val="auto"/>
          <w:kern w:val="0"/>
        </w:rPr>
      </w:pPr>
      <w:bookmarkStart w:id="21" w:name="OLE_LINK31"/>
      <w:bookmarkStart w:id="22" w:name="OLE_LINK29"/>
      <w:r>
        <w:rPr>
          <w:rFonts w:hint="eastAsia" w:ascii="宋体" w:hAnsi="宋体" w:cs="宋体"/>
          <w:snapToGrid w:val="0"/>
          <w:color w:val="auto"/>
          <w:kern w:val="0"/>
        </w:rPr>
        <w:t>青岛伟隆阀门股份有限公司（以下简称“本公司”或“公司”）</w:t>
      </w:r>
      <w:r>
        <w:rPr>
          <w:rFonts w:hint="eastAsia" w:ascii="宋体" w:hAnsi="Arial"/>
          <w:color w:val="auto"/>
        </w:rPr>
        <w:t>系于2012年3月31日由</w:t>
      </w:r>
      <w:r>
        <w:rPr>
          <w:rFonts w:hint="eastAsia" w:ascii="宋体" w:hAnsi="宋体" w:cs="宋体"/>
          <w:snapToGrid w:val="0"/>
          <w:color w:val="auto"/>
          <w:kern w:val="0"/>
        </w:rPr>
        <w:t>青岛伟隆阀门有限公司整体变更设立的股份有限公司。</w:t>
      </w:r>
    </w:p>
    <w:bookmarkEnd w:id="21"/>
    <w:bookmarkEnd w:id="22"/>
    <w:p>
      <w:pPr>
        <w:spacing w:line="360" w:lineRule="auto"/>
        <w:ind w:firstLine="420" w:firstLineChars="200"/>
        <w:rPr>
          <w:rFonts w:ascii="宋体" w:hAnsi="宋体" w:cs="宋体"/>
          <w:snapToGrid w:val="0"/>
          <w:color w:val="auto"/>
          <w:kern w:val="0"/>
        </w:rPr>
      </w:pPr>
      <w:r>
        <w:rPr>
          <w:rFonts w:ascii="宋体" w:hAnsi="宋体" w:cs="宋体"/>
          <w:snapToGrid w:val="0"/>
          <w:color w:val="auto"/>
          <w:kern w:val="0"/>
        </w:rPr>
        <w:t>2</w:t>
      </w:r>
      <w:r>
        <w:rPr>
          <w:rFonts w:hint="eastAsia" w:ascii="宋体" w:hAnsi="宋体" w:cs="宋体"/>
          <w:snapToGrid w:val="0"/>
          <w:color w:val="auto"/>
          <w:kern w:val="0"/>
        </w:rPr>
        <w:t>012年3月31日，青岛伟隆阀门有限公司整体变更为青岛伟隆阀门股份有限公司，按照经山东汇德会计师事务所有限公司审计的青岛伟隆阀门有限公司截止</w:t>
      </w:r>
      <w:r>
        <w:rPr>
          <w:rFonts w:ascii="宋体" w:hAnsi="宋体" w:cs="宋体"/>
          <w:snapToGrid w:val="0"/>
          <w:color w:val="auto"/>
          <w:kern w:val="0"/>
        </w:rPr>
        <w:t>2011</w:t>
      </w:r>
      <w:r>
        <w:rPr>
          <w:rFonts w:hint="eastAsia" w:ascii="宋体" w:hAnsi="宋体" w:cs="宋体"/>
          <w:snapToGrid w:val="0"/>
          <w:color w:val="auto"/>
          <w:kern w:val="0"/>
        </w:rPr>
        <w:t>年12月</w:t>
      </w:r>
      <w:r>
        <w:rPr>
          <w:rFonts w:ascii="宋体" w:hAnsi="宋体" w:cs="宋体"/>
          <w:snapToGrid w:val="0"/>
          <w:color w:val="auto"/>
          <w:kern w:val="0"/>
        </w:rPr>
        <w:t>31</w:t>
      </w:r>
      <w:r>
        <w:rPr>
          <w:rFonts w:hint="eastAsia" w:ascii="宋体" w:hAnsi="宋体" w:cs="宋体"/>
          <w:snapToGrid w:val="0"/>
          <w:color w:val="auto"/>
          <w:kern w:val="0"/>
        </w:rPr>
        <w:t>日的净资产折为股本5,1</w:t>
      </w:r>
      <w:r>
        <w:rPr>
          <w:rFonts w:ascii="宋体" w:hAnsi="宋体" w:cs="宋体"/>
          <w:snapToGrid w:val="0"/>
          <w:color w:val="auto"/>
          <w:kern w:val="0"/>
        </w:rPr>
        <w:t>00</w:t>
      </w:r>
      <w:r>
        <w:rPr>
          <w:rFonts w:hint="eastAsia" w:ascii="宋体" w:hAnsi="宋体" w:cs="宋体"/>
          <w:snapToGrid w:val="0"/>
          <w:color w:val="auto"/>
          <w:szCs w:val="21"/>
        </w:rPr>
        <w:t>.00</w:t>
      </w:r>
      <w:r>
        <w:rPr>
          <w:rFonts w:hint="eastAsia" w:ascii="宋体" w:hAnsi="宋体" w:cs="宋体"/>
          <w:snapToGrid w:val="0"/>
          <w:color w:val="auto"/>
          <w:kern w:val="0"/>
        </w:rPr>
        <w:t>万股（每股面值为人民币</w:t>
      </w:r>
      <w:r>
        <w:rPr>
          <w:rFonts w:ascii="宋体" w:hAnsi="宋体" w:cs="宋体"/>
          <w:snapToGrid w:val="0"/>
          <w:color w:val="auto"/>
          <w:kern w:val="0"/>
        </w:rPr>
        <w:t>1.00</w:t>
      </w:r>
      <w:r>
        <w:rPr>
          <w:rFonts w:hint="eastAsia" w:ascii="宋体" w:hAnsi="宋体" w:cs="宋体"/>
          <w:snapToGrid w:val="0"/>
          <w:color w:val="auto"/>
          <w:kern w:val="0"/>
        </w:rPr>
        <w:t>元），剩余金额计入资本公积。变更后注册资本为5,1</w:t>
      </w:r>
      <w:r>
        <w:rPr>
          <w:rFonts w:ascii="宋体" w:hAnsi="宋体" w:cs="宋体"/>
          <w:snapToGrid w:val="0"/>
          <w:color w:val="auto"/>
          <w:kern w:val="0"/>
        </w:rPr>
        <w:t>00</w:t>
      </w:r>
      <w:r>
        <w:rPr>
          <w:rFonts w:hint="eastAsia" w:ascii="宋体" w:hAnsi="宋体" w:cs="宋体"/>
          <w:snapToGrid w:val="0"/>
          <w:color w:val="auto"/>
          <w:szCs w:val="21"/>
        </w:rPr>
        <w:t>.00</w:t>
      </w:r>
      <w:r>
        <w:rPr>
          <w:rFonts w:hint="eastAsia" w:ascii="宋体" w:hAnsi="宋体" w:cs="宋体"/>
          <w:snapToGrid w:val="0"/>
          <w:color w:val="auto"/>
          <w:kern w:val="0"/>
        </w:rPr>
        <w:t>万元,其中范庆伟出资4,437</w:t>
      </w:r>
      <w:r>
        <w:rPr>
          <w:rFonts w:hint="eastAsia" w:ascii="宋体" w:hAnsi="宋体" w:cs="宋体"/>
          <w:snapToGrid w:val="0"/>
          <w:color w:val="auto"/>
          <w:szCs w:val="21"/>
        </w:rPr>
        <w:t>.00</w:t>
      </w:r>
      <w:r>
        <w:rPr>
          <w:rFonts w:hint="eastAsia" w:ascii="宋体" w:hAnsi="宋体" w:cs="宋体"/>
          <w:snapToGrid w:val="0"/>
          <w:color w:val="auto"/>
          <w:kern w:val="0"/>
        </w:rPr>
        <w:t>万元，占注册资本的87.00%，范玉隆出资255.00万元，占注册资本的5.00%,青岛惠隆投资管理有限公司出资408.00万元，占注册资本的8.00%。</w:t>
      </w:r>
    </w:p>
    <w:p>
      <w:pPr>
        <w:spacing w:line="360" w:lineRule="auto"/>
        <w:ind w:firstLine="420" w:firstLineChars="200"/>
        <w:rPr>
          <w:rFonts w:ascii="宋体" w:hAnsi="宋体" w:cs="宋体"/>
          <w:snapToGrid w:val="0"/>
          <w:color w:val="auto"/>
          <w:kern w:val="0"/>
          <w:szCs w:val="21"/>
        </w:rPr>
      </w:pPr>
      <w:bookmarkStart w:id="23" w:name="OLE_LINK32"/>
      <w:r>
        <w:rPr>
          <w:rFonts w:hint="eastAsia" w:ascii="宋体" w:hAnsi="宋体" w:cs="宋体"/>
          <w:snapToGrid w:val="0"/>
          <w:color w:val="auto"/>
          <w:kern w:val="0"/>
          <w:szCs w:val="21"/>
        </w:rPr>
        <w:t>2017年4月，经中国证券监督管理委员会以证监许可</w:t>
      </w:r>
      <w:r>
        <w:rPr>
          <w:rFonts w:ascii="宋体" w:hAnsi="宋体" w:cs="宋体"/>
          <w:snapToGrid w:val="0"/>
          <w:color w:val="auto"/>
          <w:kern w:val="0"/>
          <w:szCs w:val="21"/>
        </w:rPr>
        <w:t>[20</w:t>
      </w:r>
      <w:r>
        <w:rPr>
          <w:rFonts w:hint="eastAsia" w:ascii="宋体" w:hAnsi="宋体" w:cs="宋体"/>
          <w:snapToGrid w:val="0"/>
          <w:color w:val="auto"/>
          <w:kern w:val="0"/>
          <w:szCs w:val="21"/>
        </w:rPr>
        <w:t>17</w:t>
      </w:r>
      <w:r>
        <w:rPr>
          <w:rFonts w:ascii="宋体" w:hAnsi="宋体" w:cs="宋体"/>
          <w:snapToGrid w:val="0"/>
          <w:color w:val="auto"/>
          <w:kern w:val="0"/>
          <w:szCs w:val="21"/>
        </w:rPr>
        <w:t>]</w:t>
      </w:r>
      <w:r>
        <w:rPr>
          <w:rFonts w:hint="eastAsia" w:ascii="宋体" w:hAnsi="宋体" w:cs="宋体"/>
          <w:snapToGrid w:val="0"/>
          <w:color w:val="auto"/>
          <w:kern w:val="0"/>
          <w:szCs w:val="21"/>
        </w:rPr>
        <w:t>526</w:t>
      </w:r>
      <w:r>
        <w:rPr>
          <w:rFonts w:ascii="宋体" w:hAnsi="宋体" w:cs="宋体"/>
          <w:snapToGrid w:val="0"/>
          <w:color w:val="auto"/>
          <w:kern w:val="0"/>
          <w:szCs w:val="21"/>
        </w:rPr>
        <w:t>号文《关于核准青岛伟隆阀门股份有限公司</w:t>
      </w:r>
      <w:r>
        <w:rPr>
          <w:rFonts w:hint="eastAsia" w:ascii="宋体" w:hAnsi="宋体" w:cs="宋体"/>
          <w:snapToGrid w:val="0"/>
          <w:color w:val="auto"/>
          <w:kern w:val="0"/>
          <w:szCs w:val="21"/>
        </w:rPr>
        <w:t>首次</w:t>
      </w:r>
      <w:r>
        <w:rPr>
          <w:rFonts w:ascii="宋体" w:hAnsi="宋体" w:cs="宋体"/>
          <w:snapToGrid w:val="0"/>
          <w:color w:val="auto"/>
          <w:kern w:val="0"/>
          <w:szCs w:val="21"/>
        </w:rPr>
        <w:t>公开发行股票的</w:t>
      </w:r>
      <w:r>
        <w:rPr>
          <w:rFonts w:hint="eastAsia" w:ascii="宋体" w:hAnsi="宋体" w:cs="宋体"/>
          <w:snapToGrid w:val="0"/>
          <w:color w:val="auto"/>
          <w:kern w:val="0"/>
          <w:szCs w:val="21"/>
        </w:rPr>
        <w:t>批复</w:t>
      </w:r>
      <w:r>
        <w:rPr>
          <w:rFonts w:ascii="宋体" w:hAnsi="宋体" w:cs="宋体"/>
          <w:snapToGrid w:val="0"/>
          <w:color w:val="auto"/>
          <w:kern w:val="0"/>
          <w:szCs w:val="21"/>
        </w:rPr>
        <w:t>》</w:t>
      </w:r>
      <w:r>
        <w:rPr>
          <w:rFonts w:hint="eastAsia" w:ascii="宋体" w:hAnsi="宋体" w:cs="宋体"/>
          <w:snapToGrid w:val="0"/>
          <w:color w:val="auto"/>
          <w:kern w:val="0"/>
          <w:szCs w:val="21"/>
        </w:rPr>
        <w:t>的核准，公司向社会公开发行人民币普通股</w:t>
      </w:r>
      <w:r>
        <w:rPr>
          <w:rFonts w:ascii="宋体" w:hAnsi="宋体" w:cs="宋体"/>
          <w:snapToGrid w:val="0"/>
          <w:color w:val="auto"/>
          <w:kern w:val="0"/>
          <w:szCs w:val="21"/>
        </w:rPr>
        <w:t>1</w:t>
      </w:r>
      <w:r>
        <w:rPr>
          <w:rFonts w:hint="eastAsia" w:ascii="宋体" w:hAnsi="宋体" w:cs="宋体"/>
          <w:snapToGrid w:val="0"/>
          <w:color w:val="auto"/>
          <w:kern w:val="0"/>
          <w:szCs w:val="21"/>
        </w:rPr>
        <w:t>,700.00万股，公司注册资本变更为6,800.00万元。</w:t>
      </w:r>
      <w:r>
        <w:rPr>
          <w:rFonts w:ascii="宋体" w:hAnsi="宋体" w:cs="宋体"/>
          <w:snapToGrid w:val="0"/>
          <w:color w:val="auto"/>
          <w:kern w:val="0"/>
          <w:szCs w:val="21"/>
        </w:rPr>
        <w:t>201</w:t>
      </w:r>
      <w:r>
        <w:rPr>
          <w:rFonts w:hint="eastAsia" w:ascii="宋体" w:hAnsi="宋体" w:cs="宋体"/>
          <w:snapToGrid w:val="0"/>
          <w:color w:val="auto"/>
          <w:kern w:val="0"/>
          <w:szCs w:val="21"/>
        </w:rPr>
        <w:t>7年5月在深圳证券交易所挂牌上市，上市后公司股本总额为人民币6,800.00万元。</w:t>
      </w:r>
      <w:r>
        <w:rPr>
          <w:rFonts w:ascii="宋体" w:hAnsi="宋体" w:cs="宋体"/>
          <w:snapToGrid w:val="0"/>
          <w:color w:val="auto"/>
          <w:kern w:val="0"/>
          <w:szCs w:val="21"/>
        </w:rPr>
        <w:t>201</w:t>
      </w:r>
      <w:r>
        <w:rPr>
          <w:rFonts w:hint="eastAsia" w:ascii="宋体" w:hAnsi="宋体" w:cs="宋体"/>
          <w:snapToGrid w:val="0"/>
          <w:color w:val="auto"/>
          <w:kern w:val="0"/>
          <w:szCs w:val="21"/>
        </w:rPr>
        <w:t>7年6月30日，公司完成了工商变更，注册资本变更为6,800.00万元。</w:t>
      </w:r>
    </w:p>
    <w:bookmarkEnd w:id="23"/>
    <w:p>
      <w:pPr>
        <w:pStyle w:val="14"/>
        <w:adjustRightInd/>
        <w:spacing w:line="360" w:lineRule="auto"/>
        <w:ind w:firstLine="420" w:firstLineChars="200"/>
        <w:rPr>
          <w:rFonts w:ascii="宋体" w:hAnsi="宋体" w:eastAsia="宋体" w:cs="宋体"/>
          <w:snapToGrid w:val="0"/>
          <w:color w:val="auto"/>
          <w:sz w:val="21"/>
          <w:szCs w:val="21"/>
        </w:rPr>
      </w:pPr>
      <w:r>
        <w:rPr>
          <w:rFonts w:hint="eastAsia" w:ascii="宋体" w:hAnsi="宋体" w:eastAsia="宋体" w:cs="宋体"/>
          <w:snapToGrid w:val="0"/>
          <w:color w:val="auto"/>
          <w:sz w:val="21"/>
          <w:szCs w:val="21"/>
        </w:rPr>
        <w:t>2018年5月，依据</w:t>
      </w:r>
      <w:r>
        <w:rPr>
          <w:rFonts w:ascii="宋体" w:hAnsi="宋体" w:eastAsia="宋体" w:cs="宋体"/>
          <w:snapToGrid w:val="0"/>
          <w:color w:val="auto"/>
          <w:sz w:val="21"/>
          <w:szCs w:val="21"/>
        </w:rPr>
        <w:t>公司</w:t>
      </w:r>
      <w:r>
        <w:rPr>
          <w:rFonts w:hint="eastAsia" w:ascii="宋体" w:hAnsi="宋体" w:eastAsia="宋体" w:cs="宋体"/>
          <w:snapToGrid w:val="0"/>
          <w:color w:val="auto"/>
          <w:sz w:val="21"/>
          <w:szCs w:val="21"/>
        </w:rPr>
        <w:t>2017年度</w:t>
      </w:r>
      <w:r>
        <w:rPr>
          <w:rFonts w:ascii="宋体" w:hAnsi="宋体" w:eastAsia="宋体" w:cs="宋体"/>
          <w:snapToGrid w:val="0"/>
          <w:color w:val="auto"/>
          <w:sz w:val="21"/>
          <w:szCs w:val="21"/>
        </w:rPr>
        <w:t>股东大会决议</w:t>
      </w:r>
      <w:r>
        <w:rPr>
          <w:rFonts w:hint="eastAsia" w:ascii="宋体" w:hAnsi="宋体" w:eastAsia="宋体" w:cs="宋体"/>
          <w:snapToGrid w:val="0"/>
          <w:color w:val="auto"/>
          <w:sz w:val="21"/>
          <w:szCs w:val="21"/>
        </w:rPr>
        <w:t>通过的《关于</w:t>
      </w:r>
      <w:r>
        <w:rPr>
          <w:rFonts w:ascii="宋体" w:hAnsi="宋体" w:eastAsia="宋体" w:cs="宋体"/>
          <w:snapToGrid w:val="0"/>
          <w:color w:val="auto"/>
          <w:sz w:val="21"/>
          <w:szCs w:val="21"/>
        </w:rPr>
        <w:t>2017</w:t>
      </w:r>
      <w:r>
        <w:rPr>
          <w:rFonts w:hint="eastAsia" w:ascii="宋体" w:hAnsi="宋体" w:eastAsia="宋体" w:cs="宋体"/>
          <w:snapToGrid w:val="0"/>
          <w:color w:val="auto"/>
          <w:sz w:val="21"/>
          <w:szCs w:val="21"/>
        </w:rPr>
        <w:t>年度利润分配预案的议案》，按每</w:t>
      </w:r>
      <w:r>
        <w:rPr>
          <w:rFonts w:ascii="宋体" w:hAnsi="宋体" w:eastAsia="宋体" w:cs="宋体"/>
          <w:snapToGrid w:val="0"/>
          <w:color w:val="auto"/>
          <w:sz w:val="21"/>
          <w:szCs w:val="21"/>
        </w:rPr>
        <w:t>10</w:t>
      </w:r>
      <w:r>
        <w:rPr>
          <w:rFonts w:hint="eastAsia" w:ascii="宋体" w:hAnsi="宋体" w:eastAsia="宋体" w:cs="宋体"/>
          <w:snapToGrid w:val="0"/>
          <w:color w:val="auto"/>
          <w:sz w:val="21"/>
          <w:szCs w:val="21"/>
        </w:rPr>
        <w:t>股转增7股的比例，以资本公积向全体股东转增股份,增加股本4,760.00万元，变更后的注册资本人民币11,560.00万元。2018年7月4日，公司完成了工商变更。</w:t>
      </w:r>
    </w:p>
    <w:p>
      <w:pPr>
        <w:pStyle w:val="14"/>
        <w:adjustRightInd/>
        <w:spacing w:line="360" w:lineRule="auto"/>
        <w:ind w:firstLine="420" w:firstLineChars="200"/>
        <w:jc w:val="both"/>
        <w:rPr>
          <w:rFonts w:ascii="宋体" w:hAnsi="宋体" w:eastAsia="宋体" w:cs="宋体"/>
          <w:snapToGrid w:val="0"/>
          <w:color w:val="auto"/>
          <w:sz w:val="21"/>
          <w:szCs w:val="21"/>
        </w:rPr>
      </w:pPr>
      <w:r>
        <w:rPr>
          <w:rFonts w:hint="eastAsia" w:ascii="宋体" w:hAnsi="宋体" w:eastAsia="宋体" w:cs="宋体"/>
          <w:snapToGrid w:val="0"/>
          <w:color w:val="auto"/>
          <w:sz w:val="21"/>
          <w:szCs w:val="21"/>
        </w:rPr>
        <w:t>2018年11月，公司于第三届董事会第七次会议审议通过《关于调整公司</w:t>
      </w:r>
      <w:r>
        <w:rPr>
          <w:rFonts w:ascii="宋体" w:hAnsi="宋体" w:eastAsia="宋体" w:cs="宋体"/>
          <w:snapToGrid w:val="0"/>
          <w:color w:val="auto"/>
          <w:sz w:val="21"/>
          <w:szCs w:val="21"/>
        </w:rPr>
        <w:t>2018</w:t>
      </w:r>
      <w:r>
        <w:rPr>
          <w:rFonts w:hint="eastAsia" w:ascii="宋体" w:hAnsi="宋体" w:eastAsia="宋体" w:cs="宋体"/>
          <w:snapToGrid w:val="0"/>
          <w:color w:val="auto"/>
          <w:sz w:val="21"/>
          <w:szCs w:val="21"/>
        </w:rPr>
        <w:t>年限制性股票激励计划相关事项的议案》、《关于向</w:t>
      </w:r>
      <w:r>
        <w:rPr>
          <w:rFonts w:ascii="宋体" w:hAnsi="宋体" w:eastAsia="宋体" w:cs="宋体"/>
          <w:snapToGrid w:val="0"/>
          <w:color w:val="auto"/>
          <w:sz w:val="21"/>
          <w:szCs w:val="21"/>
        </w:rPr>
        <w:t>2018</w:t>
      </w:r>
      <w:r>
        <w:rPr>
          <w:rFonts w:hint="eastAsia" w:ascii="宋体" w:hAnsi="宋体" w:eastAsia="宋体" w:cs="宋体"/>
          <w:snapToGrid w:val="0"/>
          <w:color w:val="auto"/>
          <w:sz w:val="21"/>
          <w:szCs w:val="21"/>
        </w:rPr>
        <w:t>年限制性股票激励计划激励对象授予限制性股票的议案》，确定以2018年11月20日为授予日，向39名激励对象授予114.20万股限制性股票</w:t>
      </w:r>
      <w:r>
        <w:rPr>
          <w:rFonts w:hint="eastAsia" w:ascii="宋体" w:hAnsi="宋体" w:eastAsia="宋体" w:cs="宋体"/>
          <w:snapToGrid w:val="0"/>
          <w:color w:val="auto"/>
          <w:sz w:val="21"/>
          <w:szCs w:val="20"/>
        </w:rPr>
        <w:t>（每股面值人民币1元）。公司增加注册资本人民币1,142,000.00元，变更后的注册资本为人民币116</w:t>
      </w:r>
      <w:r>
        <w:rPr>
          <w:rFonts w:ascii="宋体" w:hAnsi="宋体" w:eastAsia="宋体" w:cs="宋体"/>
          <w:snapToGrid w:val="0"/>
          <w:color w:val="auto"/>
          <w:sz w:val="21"/>
          <w:szCs w:val="20"/>
        </w:rPr>
        <w:t>,</w:t>
      </w:r>
      <w:r>
        <w:rPr>
          <w:rFonts w:hint="eastAsia" w:ascii="宋体" w:hAnsi="宋体" w:eastAsia="宋体" w:cs="宋体"/>
          <w:snapToGrid w:val="0"/>
          <w:color w:val="auto"/>
          <w:sz w:val="21"/>
          <w:szCs w:val="20"/>
        </w:rPr>
        <w:t>742</w:t>
      </w:r>
      <w:r>
        <w:rPr>
          <w:rFonts w:ascii="宋体" w:hAnsi="宋体" w:eastAsia="宋体" w:cs="宋体"/>
          <w:snapToGrid w:val="0"/>
          <w:color w:val="auto"/>
          <w:sz w:val="21"/>
          <w:szCs w:val="20"/>
        </w:rPr>
        <w:t>,</w:t>
      </w:r>
      <w:r>
        <w:rPr>
          <w:rFonts w:hint="eastAsia" w:ascii="宋体" w:hAnsi="宋体" w:eastAsia="宋体" w:cs="宋体"/>
          <w:snapToGrid w:val="0"/>
          <w:color w:val="auto"/>
          <w:sz w:val="21"/>
          <w:szCs w:val="20"/>
        </w:rPr>
        <w:t>000.00元。</w:t>
      </w:r>
      <w:r>
        <w:rPr>
          <w:rFonts w:hint="eastAsia" w:ascii="宋体" w:hAnsi="宋体" w:eastAsia="宋体" w:cs="宋体"/>
          <w:snapToGrid w:val="0"/>
          <w:color w:val="auto"/>
          <w:sz w:val="21"/>
          <w:szCs w:val="21"/>
        </w:rPr>
        <w:t>2018年12月21日，公司完成了工商变更。</w:t>
      </w:r>
    </w:p>
    <w:p>
      <w:pPr>
        <w:pStyle w:val="14"/>
        <w:adjustRightInd/>
        <w:spacing w:line="360" w:lineRule="auto"/>
        <w:ind w:firstLine="420" w:firstLineChars="200"/>
        <w:jc w:val="both"/>
        <w:rPr>
          <w:rFonts w:ascii="宋体" w:hAnsi="宋体" w:eastAsia="宋体" w:cs="宋体"/>
          <w:snapToGrid w:val="0"/>
          <w:color w:val="auto"/>
          <w:sz w:val="21"/>
          <w:szCs w:val="21"/>
        </w:rPr>
      </w:pPr>
      <w:r>
        <w:rPr>
          <w:rFonts w:hint="eastAsia" w:ascii="宋体" w:hAnsi="宋体" w:eastAsia="宋体" w:cs="宋体"/>
          <w:snapToGrid w:val="0"/>
          <w:color w:val="auto"/>
          <w:sz w:val="21"/>
          <w:szCs w:val="21"/>
        </w:rPr>
        <w:t>公司于2019年12月13日召开2019年第一次临时股东大会，会议审议通过了《关于回购注销部分限制性股票的议案》、《关于变更公司注册资本与修改&lt;公司章程&gt;的议案》。由于公司1名原激励对象因个人原因离职，该人员已不符合激励条件，公司决定对该对象所持已获授但尚未解除限售的20,000.00股限制性股票进行回购注销。减少股本人民币20,000.00元，变更后的股本为人民币116,722,000.00元。</w:t>
      </w:r>
    </w:p>
    <w:p>
      <w:pPr>
        <w:pStyle w:val="14"/>
        <w:adjustRightInd/>
        <w:spacing w:line="360" w:lineRule="auto"/>
        <w:ind w:firstLine="420" w:firstLineChars="200"/>
        <w:jc w:val="both"/>
        <w:rPr>
          <w:rFonts w:ascii="宋体" w:hAnsi="宋体" w:eastAsia="宋体" w:cs="宋体"/>
          <w:snapToGrid w:val="0"/>
          <w:color w:val="auto"/>
          <w:sz w:val="21"/>
          <w:szCs w:val="21"/>
        </w:rPr>
      </w:pPr>
      <w:r>
        <w:rPr>
          <w:rFonts w:hint="eastAsia" w:ascii="宋体" w:hAnsi="宋体" w:eastAsia="宋体" w:cs="宋体"/>
          <w:snapToGrid w:val="0"/>
          <w:color w:val="auto"/>
          <w:sz w:val="21"/>
          <w:szCs w:val="21"/>
        </w:rPr>
        <w:t>公司于2020年12月11日召开2020年第一次临时股东大会，会议审议通过了《关于回购注销部分限制性股票的议案》、《关于变更公司注册资本与修改&lt;公司章程&gt;的议案》。由于公司2名原激励对象因个人原因离职，公司决定对该对象所持已获授但尚未解除限售的42,000.00股限制性股票进行回购注销。减少股本人民币42,000.00元，变更后的股本为人民币116,680,000.00元。</w:t>
      </w:r>
    </w:p>
    <w:p>
      <w:pPr>
        <w:pStyle w:val="14"/>
        <w:adjustRightInd/>
        <w:spacing w:line="360" w:lineRule="auto"/>
        <w:ind w:firstLine="420" w:firstLineChars="200"/>
        <w:jc w:val="both"/>
        <w:rPr>
          <w:rFonts w:ascii="宋体" w:hAnsi="宋体" w:eastAsia="宋体" w:cs="宋体"/>
          <w:snapToGrid w:val="0"/>
          <w:color w:val="auto"/>
          <w:sz w:val="21"/>
          <w:szCs w:val="21"/>
        </w:rPr>
      </w:pPr>
      <w:r>
        <w:rPr>
          <w:rFonts w:hint="eastAsia" w:ascii="宋体" w:hAnsi="宋体" w:eastAsia="宋体" w:cs="宋体"/>
          <w:snapToGrid w:val="0"/>
          <w:color w:val="auto"/>
          <w:sz w:val="21"/>
          <w:szCs w:val="21"/>
        </w:rPr>
        <w:t>公司于2021年5月19日召开的2020年度股东大会审议通过了《关于2020年度利润分配及资本公积金转增股本预案的议案》：以2020年12月31日公司总股本116,680,000.00股为基数，向全体股东每10股派息4.50元（含税）,共派发现金红利</w:t>
      </w:r>
      <w:r>
        <w:rPr>
          <w:rFonts w:ascii="宋体" w:hAnsi="宋体" w:eastAsia="宋体" w:cs="宋体"/>
          <w:snapToGrid w:val="0"/>
          <w:color w:val="auto"/>
          <w:sz w:val="21"/>
          <w:szCs w:val="21"/>
        </w:rPr>
        <w:t>52,494,300.00</w:t>
      </w:r>
      <w:r>
        <w:rPr>
          <w:rFonts w:hint="eastAsia" w:ascii="宋体" w:hAnsi="宋体" w:eastAsia="宋体" w:cs="宋体"/>
          <w:snapToGrid w:val="0"/>
          <w:color w:val="auto"/>
          <w:sz w:val="21"/>
          <w:szCs w:val="21"/>
        </w:rPr>
        <w:t>元，同时以资本公积向全体股东每10股转增4.50股，共计转增</w:t>
      </w:r>
      <w:r>
        <w:rPr>
          <w:rFonts w:ascii="宋体" w:hAnsi="宋体" w:eastAsia="宋体" w:cs="宋体"/>
          <w:snapToGrid w:val="0"/>
          <w:color w:val="auto"/>
          <w:sz w:val="21"/>
          <w:szCs w:val="21"/>
        </w:rPr>
        <w:t>52,506,000.00</w:t>
      </w:r>
      <w:r>
        <w:rPr>
          <w:rFonts w:hint="eastAsia" w:ascii="宋体" w:hAnsi="宋体" w:eastAsia="宋体" w:cs="宋体"/>
          <w:snapToGrid w:val="0"/>
          <w:color w:val="auto"/>
          <w:sz w:val="21"/>
          <w:szCs w:val="21"/>
        </w:rPr>
        <w:t>股，2021年10月25日，公司完成了工商变更，变更后的注册资本人民币</w:t>
      </w:r>
      <w:r>
        <w:rPr>
          <w:rFonts w:ascii="宋体" w:hAnsi="宋体" w:eastAsia="宋体" w:cs="宋体"/>
          <w:snapToGrid w:val="0"/>
          <w:color w:val="auto"/>
          <w:sz w:val="21"/>
          <w:szCs w:val="21"/>
        </w:rPr>
        <w:t>169,186,000.00</w:t>
      </w:r>
      <w:r>
        <w:rPr>
          <w:rFonts w:hint="eastAsia" w:ascii="宋体" w:hAnsi="宋体" w:eastAsia="宋体" w:cs="宋体"/>
          <w:snapToGrid w:val="0"/>
          <w:color w:val="auto"/>
          <w:sz w:val="21"/>
          <w:szCs w:val="21"/>
        </w:rPr>
        <w:t>元。</w:t>
      </w:r>
    </w:p>
    <w:p>
      <w:pPr>
        <w:pStyle w:val="14"/>
        <w:adjustRightInd/>
        <w:spacing w:line="360" w:lineRule="auto"/>
        <w:ind w:firstLine="420" w:firstLineChars="200"/>
        <w:jc w:val="both"/>
        <w:rPr>
          <w:rFonts w:ascii="宋体" w:hAnsi="宋体" w:eastAsia="宋体" w:cs="宋体"/>
          <w:snapToGrid w:val="0"/>
          <w:color w:val="auto"/>
          <w:sz w:val="21"/>
          <w:szCs w:val="21"/>
        </w:rPr>
      </w:pPr>
      <w:r>
        <w:rPr>
          <w:rFonts w:hint="eastAsia" w:ascii="宋体" w:hAnsi="宋体" w:eastAsia="宋体" w:cs="宋体"/>
          <w:snapToGrid w:val="0"/>
          <w:color w:val="auto"/>
          <w:sz w:val="21"/>
          <w:szCs w:val="21"/>
        </w:rPr>
        <w:t>公司于2021年11月24日召开第四届董事会第七次会议，会议审议通过了《关于回购注销部分限制性股票的议案》。公司于2021年12月10日召开2021年第三次临时股东大会，会议审议通过了《关于回购注销部分限制性股票的议案》、《关于变更公司注册资本与修改&lt;公司章程&gt;的议案》，由于人员离职及不满足解锁条件回购注销153,352.00股，变更后的注册资本为人民币169,032,648.00元。</w:t>
      </w:r>
    </w:p>
    <w:p>
      <w:pPr>
        <w:pStyle w:val="14"/>
        <w:adjustRightInd/>
        <w:spacing w:line="360" w:lineRule="auto"/>
        <w:ind w:firstLine="420" w:firstLineChars="200"/>
        <w:jc w:val="both"/>
        <w:rPr>
          <w:rFonts w:ascii="宋体" w:hAnsi="宋体" w:eastAsia="宋体" w:cs="宋体"/>
          <w:snapToGrid w:val="0"/>
          <w:color w:val="auto"/>
          <w:sz w:val="21"/>
          <w:szCs w:val="21"/>
        </w:rPr>
      </w:pPr>
      <w:r>
        <w:rPr>
          <w:rFonts w:hint="eastAsia" w:ascii="宋体" w:hAnsi="宋体" w:eastAsia="宋体" w:cs="宋体"/>
          <w:snapToGrid w:val="0"/>
          <w:color w:val="auto"/>
          <w:sz w:val="21"/>
          <w:szCs w:val="21"/>
        </w:rPr>
        <w:t>公司于2022年11月14日召开2022年第四次临时股东大会，会议审议通过了《关于回购注销部分限制性股票的议案》、《关于变更公司注册资本与修改&lt;公司章程&gt;的议案》。由于公司部分激励对象离职及未达到解锁条件，根据公司《2021年限制性股票激励计划（草案修订稿）》的规定，公司董事会决定对未解锁的155,500.00股限制性股票进行回购注销，变更后的注册资本为人民币</w:t>
      </w:r>
      <w:r>
        <w:rPr>
          <w:rFonts w:ascii="宋体" w:hAnsi="宋体" w:eastAsia="宋体" w:cs="宋体"/>
          <w:snapToGrid w:val="0"/>
          <w:color w:val="auto"/>
          <w:sz w:val="21"/>
          <w:szCs w:val="21"/>
        </w:rPr>
        <w:t>168,877,148.00</w:t>
      </w:r>
      <w:r>
        <w:rPr>
          <w:rFonts w:hint="eastAsia" w:ascii="宋体" w:hAnsi="宋体" w:eastAsia="宋体" w:cs="宋体"/>
          <w:snapToGrid w:val="0"/>
          <w:color w:val="auto"/>
          <w:sz w:val="21"/>
          <w:szCs w:val="21"/>
        </w:rPr>
        <w:t>元。</w:t>
      </w:r>
    </w:p>
    <w:p>
      <w:pPr>
        <w:spacing w:line="360" w:lineRule="auto"/>
        <w:ind w:firstLine="420" w:firstLineChars="200"/>
        <w:rPr>
          <w:rFonts w:ascii="宋体" w:hAnsi="宋体" w:cs="宋体"/>
          <w:snapToGrid w:val="0"/>
          <w:color w:val="auto"/>
          <w:kern w:val="0"/>
        </w:rPr>
      </w:pPr>
      <w:bookmarkStart w:id="24" w:name="OLE_LINK33"/>
      <w:r>
        <w:rPr>
          <w:rFonts w:hint="eastAsia" w:ascii="宋体" w:hAnsi="宋体" w:cs="宋体"/>
          <w:snapToGrid w:val="0"/>
          <w:color w:val="auto"/>
          <w:kern w:val="0"/>
        </w:rPr>
        <w:t>公司住所为</w:t>
      </w:r>
      <w:r>
        <w:rPr>
          <w:rFonts w:hint="eastAsia" w:ascii="宋体" w:hAnsi="宋体" w:cs="宋体"/>
          <w:color w:val="auto"/>
          <w:szCs w:val="21"/>
        </w:rPr>
        <w:t>山东省青岛市高新区春阳路789号</w:t>
      </w:r>
      <w:r>
        <w:rPr>
          <w:rFonts w:hint="eastAsia" w:ascii="宋体" w:hAnsi="宋体" w:cs="宋体"/>
          <w:snapToGrid w:val="0"/>
          <w:color w:val="auto"/>
          <w:kern w:val="0"/>
        </w:rPr>
        <w:t>，公司法定代表人为范庆伟。</w:t>
      </w:r>
    </w:p>
    <w:p>
      <w:pPr>
        <w:spacing w:line="360" w:lineRule="auto"/>
        <w:ind w:firstLine="420" w:firstLineChars="200"/>
        <w:rPr>
          <w:rFonts w:ascii="宋体" w:hAnsi="宋体" w:cs="宋体"/>
          <w:snapToGrid w:val="0"/>
          <w:color w:val="auto"/>
          <w:kern w:val="0"/>
        </w:rPr>
      </w:pPr>
      <w:r>
        <w:rPr>
          <w:rFonts w:hint="eastAsia" w:ascii="宋体" w:hAnsi="宋体" w:cs="宋体"/>
          <w:snapToGrid w:val="0"/>
          <w:color w:val="auto"/>
          <w:kern w:val="0"/>
        </w:rPr>
        <w:t>公司经营范围：</w:t>
      </w:r>
    </w:p>
    <w:bookmarkEnd w:id="24"/>
    <w:p>
      <w:pPr>
        <w:spacing w:line="360" w:lineRule="auto"/>
        <w:ind w:firstLine="420" w:firstLineChars="200"/>
        <w:rPr>
          <w:rFonts w:ascii="宋体" w:hAnsi="宋体" w:cs="宋体"/>
          <w:snapToGrid w:val="0"/>
          <w:color w:val="auto"/>
          <w:kern w:val="0"/>
        </w:rPr>
      </w:pPr>
      <w:r>
        <w:rPr>
          <w:rFonts w:hint="eastAsia" w:ascii="宋体" w:hAnsi="宋体" w:cs="宋体"/>
          <w:snapToGrid w:val="0"/>
          <w:color w:val="auto"/>
          <w:kern w:val="0"/>
        </w:rPr>
        <w:t xml:space="preserve">制造销售消防阀门、消防栓、消防设备配件（不含国家限制品种）、阀门及其配件、管件、机械配件，批发、零售工艺品、服装鞋帽、五金、化工产品（不含危险化学品）、普通机械、建筑材料、计算机及其配件，货物进出口、技术进出口；海洋水质与生态环境监测仪器设备销售；海洋环境监测与探测装备销售；导航、测绘、气象及海洋专用仪器销售；海洋环境服务；海洋工程关键配套系统开发；海洋工程装备销售；制造、销售汽车农机零部件；制造、销售机床床身及零部件；制造销售密封件、橡胶制品。（法律、行政法规禁止的项目除外；法律、行政法规限制的项目取得许可后方可经营。（依法须经批准的项目，经相关部门批准后方可开展经营活动）。          </w:t>
      </w:r>
    </w:p>
    <w:p>
      <w:pPr>
        <w:spacing w:line="360" w:lineRule="auto"/>
        <w:ind w:firstLine="420" w:firstLineChars="200"/>
        <w:rPr>
          <w:rFonts w:ascii="宋体" w:hAnsi="宋体" w:cs="宋体"/>
          <w:snapToGrid w:val="0"/>
          <w:color w:val="auto"/>
          <w:kern w:val="0"/>
        </w:rPr>
      </w:pPr>
      <w:r>
        <w:rPr>
          <w:rFonts w:hint="eastAsia" w:ascii="宋体" w:hAnsi="宋体" w:cs="宋体"/>
          <w:snapToGrid w:val="0"/>
          <w:color w:val="auto"/>
          <w:kern w:val="0"/>
        </w:rPr>
        <w:t>公司主营业务：阀门及其配件、汽车配件铸件、管件的生产、销售及相关业务。</w:t>
      </w:r>
    </w:p>
    <w:p>
      <w:pPr>
        <w:spacing w:line="360" w:lineRule="auto"/>
        <w:ind w:firstLine="420" w:firstLineChars="200"/>
        <w:rPr>
          <w:rFonts w:ascii="宋体" w:hAnsi="宋体" w:cs="宋体"/>
          <w:snapToGrid w:val="0"/>
          <w:color w:val="auto"/>
          <w:kern w:val="0"/>
        </w:rPr>
      </w:pPr>
      <w:r>
        <w:rPr>
          <w:rFonts w:hint="eastAsia" w:ascii="宋体" w:hAnsi="宋体" w:cs="宋体"/>
          <w:snapToGrid w:val="0"/>
          <w:color w:val="auto"/>
          <w:kern w:val="0"/>
        </w:rPr>
        <w:t>公司所属行业：制造行业。</w:t>
      </w:r>
    </w:p>
    <w:p>
      <w:pPr>
        <w:spacing w:line="360" w:lineRule="auto"/>
        <w:ind w:firstLine="420" w:firstLineChars="200"/>
        <w:rPr>
          <w:rFonts w:ascii="宋体" w:hAnsi="宋体" w:cs="宋体"/>
          <w:snapToGrid w:val="0"/>
          <w:color w:val="auto"/>
          <w:kern w:val="0"/>
        </w:rPr>
      </w:pPr>
      <w:r>
        <w:rPr>
          <w:rFonts w:hint="eastAsia" w:ascii="宋体" w:hAnsi="宋体" w:cs="宋体"/>
          <w:snapToGrid w:val="0"/>
          <w:color w:val="auto"/>
          <w:kern w:val="0"/>
        </w:rPr>
        <w:t>本公司实际控制人为范庆伟家族，持有本公司</w:t>
      </w:r>
      <w:r>
        <w:rPr>
          <w:rFonts w:hint="eastAsia" w:ascii="宋体" w:hAnsi="宋体" w:cs="宋体"/>
          <w:color w:val="auto"/>
          <w:szCs w:val="21"/>
        </w:rPr>
        <w:t>63.34%</w:t>
      </w:r>
      <w:r>
        <w:rPr>
          <w:rFonts w:hint="eastAsia" w:ascii="宋体" w:hAnsi="宋体" w:cs="宋体"/>
          <w:snapToGrid w:val="0"/>
          <w:color w:val="auto"/>
          <w:kern w:val="0"/>
        </w:rPr>
        <w:t>的股权。</w:t>
      </w:r>
    </w:p>
    <w:p>
      <w:pPr>
        <w:spacing w:line="360" w:lineRule="auto"/>
        <w:ind w:firstLine="420" w:firstLineChars="200"/>
        <w:rPr>
          <w:rFonts w:ascii="宋体" w:hAnsi="宋体" w:cs="宋体"/>
          <w:snapToGrid w:val="0"/>
          <w:color w:val="auto"/>
          <w:kern w:val="0"/>
        </w:rPr>
      </w:pPr>
      <w:r>
        <w:rPr>
          <w:rFonts w:hint="eastAsia" w:ascii="宋体" w:hAnsi="宋体" w:cs="宋体"/>
          <w:snapToGrid w:val="0"/>
          <w:color w:val="auto"/>
          <w:kern w:val="0"/>
        </w:rPr>
        <w:t>本财务报表由公司董事会决议批准于</w:t>
      </w:r>
      <w:r>
        <w:rPr>
          <w:rFonts w:ascii="宋体" w:hAnsi="宋体" w:cs="宋体"/>
          <w:snapToGrid w:val="0"/>
          <w:color w:val="auto"/>
          <w:kern w:val="0"/>
        </w:rPr>
        <w:t>20</w:t>
      </w:r>
      <w:r>
        <w:rPr>
          <w:rFonts w:hint="eastAsia" w:ascii="宋体" w:hAnsi="宋体" w:cs="宋体"/>
          <w:snapToGrid w:val="0"/>
          <w:color w:val="auto"/>
          <w:kern w:val="0"/>
        </w:rPr>
        <w:t>23年3月20日报出。</w:t>
      </w:r>
    </w:p>
    <w:p>
      <w:pPr>
        <w:spacing w:before="150" w:beforeLines="50" w:line="360" w:lineRule="auto"/>
        <w:ind w:firstLine="420" w:firstLineChars="200"/>
        <w:outlineLvl w:val="1"/>
        <w:rPr>
          <w:rFonts w:ascii="宋体" w:hAnsi="Arial"/>
          <w:b/>
          <w:color w:val="auto"/>
        </w:rPr>
      </w:pPr>
      <w:r>
        <w:rPr>
          <w:rFonts w:hint="eastAsia" w:ascii="宋体" w:hAnsi="Arial"/>
          <w:b/>
          <w:color w:val="auto"/>
        </w:rPr>
        <w:t>（二）合并报表范围</w:t>
      </w:r>
    </w:p>
    <w:p>
      <w:pPr>
        <w:spacing w:before="150" w:beforeLines="50" w:after="150" w:afterLines="50" w:line="360" w:lineRule="auto"/>
        <w:ind w:firstLine="420" w:firstLineChars="200"/>
        <w:rPr>
          <w:rFonts w:ascii="宋体" w:hAnsi="宋体"/>
          <w:color w:val="auto"/>
        </w:rPr>
      </w:pPr>
      <w:r>
        <w:rPr>
          <w:rFonts w:hint="eastAsia" w:ascii="宋体" w:hAnsi="宋体"/>
          <w:color w:val="auto"/>
          <w:kern w:val="0"/>
        </w:rPr>
        <w:t>截止</w:t>
      </w:r>
      <w:r>
        <w:rPr>
          <w:rFonts w:ascii="宋体" w:hAnsi="宋体"/>
          <w:color w:val="auto"/>
          <w:kern w:val="0"/>
        </w:rPr>
        <w:t>20</w:t>
      </w:r>
      <w:r>
        <w:rPr>
          <w:rFonts w:hint="eastAsia" w:ascii="宋体" w:hAnsi="宋体"/>
          <w:color w:val="auto"/>
          <w:kern w:val="0"/>
        </w:rPr>
        <w:t>2</w:t>
      </w:r>
      <w:r>
        <w:rPr>
          <w:rFonts w:ascii="宋体" w:hAnsi="宋体"/>
          <w:color w:val="auto"/>
          <w:kern w:val="0"/>
        </w:rPr>
        <w:t>2</w:t>
      </w:r>
      <w:r>
        <w:rPr>
          <w:rFonts w:hint="eastAsia" w:ascii="宋体" w:hAnsi="宋体"/>
          <w:color w:val="auto"/>
          <w:kern w:val="0"/>
        </w:rPr>
        <w:t>年</w:t>
      </w:r>
      <w:r>
        <w:rPr>
          <w:rFonts w:ascii="宋体" w:hAnsi="宋体"/>
          <w:color w:val="auto"/>
          <w:kern w:val="0"/>
        </w:rPr>
        <w:t>12</w:t>
      </w:r>
      <w:r>
        <w:rPr>
          <w:rFonts w:hint="eastAsia" w:ascii="宋体" w:hAnsi="宋体"/>
          <w:color w:val="auto"/>
          <w:kern w:val="0"/>
        </w:rPr>
        <w:t>月</w:t>
      </w:r>
      <w:r>
        <w:rPr>
          <w:rFonts w:ascii="宋体" w:hAnsi="宋体"/>
          <w:color w:val="auto"/>
          <w:kern w:val="0"/>
        </w:rPr>
        <w:t>31</w:t>
      </w:r>
      <w:r>
        <w:rPr>
          <w:rFonts w:hint="eastAsia" w:ascii="宋体" w:hAnsi="宋体"/>
          <w:color w:val="auto"/>
          <w:kern w:val="0"/>
        </w:rPr>
        <w:t>日，公司合并财务报表范围内子公司如下：</w:t>
      </w:r>
    </w:p>
    <w:tbl>
      <w:tblPr>
        <w:tblStyle w:val="9"/>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544"/>
        <w:gridCol w:w="45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4544" w:type="dxa"/>
            <w:tcBorders>
              <w:top w:val="single" w:color="auto" w:sz="12" w:space="0"/>
              <w:bottom w:val="single" w:color="auto" w:sz="12" w:space="0"/>
            </w:tcBorders>
            <w:vAlign w:val="center"/>
          </w:tcPr>
          <w:p>
            <w:pPr>
              <w:jc w:val="center"/>
              <w:rPr>
                <w:rFonts w:ascii="宋体" w:hAnsi="宋体" w:cs="宋体"/>
                <w:b/>
                <w:bCs/>
                <w:color w:val="auto"/>
                <w:sz w:val="18"/>
                <w:szCs w:val="18"/>
              </w:rPr>
            </w:pPr>
            <w:r>
              <w:rPr>
                <w:rFonts w:hint="eastAsia" w:ascii="宋体" w:hAnsi="宋体"/>
                <w:b/>
                <w:bCs/>
                <w:color w:val="auto"/>
                <w:sz w:val="18"/>
                <w:szCs w:val="18"/>
              </w:rPr>
              <w:t>公司名称</w:t>
            </w:r>
          </w:p>
        </w:tc>
        <w:tc>
          <w:tcPr>
            <w:tcW w:w="4544" w:type="dxa"/>
            <w:tcBorders>
              <w:top w:val="single" w:color="auto" w:sz="12" w:space="0"/>
              <w:bottom w:val="single" w:color="auto" w:sz="12" w:space="0"/>
            </w:tcBorders>
            <w:vAlign w:val="center"/>
          </w:tcPr>
          <w:p>
            <w:pPr>
              <w:jc w:val="center"/>
              <w:rPr>
                <w:rFonts w:ascii="宋体" w:hAnsi="宋体" w:cs="宋体"/>
                <w:b/>
                <w:bCs/>
                <w:color w:val="auto"/>
                <w:sz w:val="18"/>
                <w:szCs w:val="18"/>
              </w:rPr>
            </w:pPr>
            <w:r>
              <w:rPr>
                <w:rFonts w:hint="eastAsia" w:ascii="宋体" w:hAnsi="宋体"/>
                <w:b/>
                <w:bCs/>
                <w:color w:val="auto"/>
                <w:sz w:val="18"/>
                <w:szCs w:val="18"/>
              </w:rPr>
              <w:t>子公司类型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4544" w:type="dxa"/>
            <w:tcBorders>
              <w:top w:val="single" w:color="auto" w:sz="12" w:space="0"/>
            </w:tcBorders>
            <w:vAlign w:val="bottom"/>
          </w:tcPr>
          <w:p>
            <w:pPr>
              <w:rPr>
                <w:rFonts w:ascii="宋体" w:hAnsi="宋体" w:cs="宋体"/>
                <w:color w:val="auto"/>
                <w:sz w:val="18"/>
                <w:szCs w:val="18"/>
              </w:rPr>
            </w:pPr>
            <w:r>
              <w:rPr>
                <w:rFonts w:hint="eastAsia" w:ascii="宋体" w:hAnsi="宋体"/>
                <w:color w:val="auto"/>
                <w:sz w:val="18"/>
                <w:szCs w:val="18"/>
              </w:rPr>
              <w:t>莱州伟隆阀门有限公司</w:t>
            </w:r>
          </w:p>
        </w:tc>
        <w:tc>
          <w:tcPr>
            <w:tcW w:w="4544" w:type="dxa"/>
            <w:tcBorders>
              <w:top w:val="single" w:color="auto" w:sz="12" w:space="0"/>
            </w:tcBorders>
            <w:vAlign w:val="bottom"/>
          </w:tcPr>
          <w:p>
            <w:pPr>
              <w:jc w:val="center"/>
              <w:rPr>
                <w:rFonts w:ascii="宋体" w:hAnsi="宋体" w:cs="宋体"/>
                <w:color w:val="auto"/>
                <w:sz w:val="18"/>
                <w:szCs w:val="18"/>
              </w:rPr>
            </w:pPr>
            <w:r>
              <w:rPr>
                <w:rFonts w:hint="eastAsia" w:ascii="宋体" w:hAnsi="宋体"/>
                <w:color w:val="auto"/>
                <w:sz w:val="18"/>
                <w:szCs w:val="18"/>
              </w:rPr>
              <w:t>全资子公司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4544" w:type="dxa"/>
            <w:vAlign w:val="bottom"/>
          </w:tcPr>
          <w:p>
            <w:pPr>
              <w:rPr>
                <w:rFonts w:ascii="宋体" w:hAnsi="宋体" w:cs="宋体"/>
                <w:color w:val="auto"/>
                <w:sz w:val="18"/>
                <w:szCs w:val="18"/>
              </w:rPr>
            </w:pPr>
            <w:r>
              <w:rPr>
                <w:rFonts w:hint="eastAsia" w:ascii="宋体" w:hAnsi="宋体"/>
                <w:color w:val="auto"/>
                <w:sz w:val="18"/>
                <w:szCs w:val="18"/>
              </w:rPr>
              <w:t>青岛伟隆流体设备有限公司</w:t>
            </w:r>
          </w:p>
        </w:tc>
        <w:tc>
          <w:tcPr>
            <w:tcW w:w="4544" w:type="dxa"/>
            <w:vAlign w:val="bottom"/>
          </w:tcPr>
          <w:p>
            <w:pPr>
              <w:jc w:val="center"/>
              <w:rPr>
                <w:rFonts w:ascii="宋体" w:hAnsi="宋体" w:cs="宋体"/>
                <w:color w:val="auto"/>
                <w:sz w:val="18"/>
                <w:szCs w:val="18"/>
              </w:rPr>
            </w:pPr>
            <w:r>
              <w:rPr>
                <w:rFonts w:hint="eastAsia" w:ascii="宋体" w:hAnsi="宋体"/>
                <w:color w:val="auto"/>
                <w:sz w:val="18"/>
                <w:szCs w:val="18"/>
              </w:rPr>
              <w:t>全资子公司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4544" w:type="dxa"/>
            <w:vAlign w:val="bottom"/>
          </w:tcPr>
          <w:p>
            <w:pPr>
              <w:rPr>
                <w:rFonts w:ascii="宋体" w:hAnsi="宋体" w:cs="宋体"/>
                <w:color w:val="auto"/>
                <w:sz w:val="18"/>
                <w:szCs w:val="18"/>
              </w:rPr>
            </w:pPr>
            <w:r>
              <w:rPr>
                <w:rFonts w:ascii="宋体" w:hAnsi="宋体"/>
                <w:color w:val="auto"/>
                <w:sz w:val="18"/>
                <w:szCs w:val="18"/>
              </w:rPr>
              <w:t>Weflo Valve Company Limited（英国公司）</w:t>
            </w:r>
          </w:p>
        </w:tc>
        <w:tc>
          <w:tcPr>
            <w:tcW w:w="4544" w:type="dxa"/>
            <w:vAlign w:val="bottom"/>
          </w:tcPr>
          <w:p>
            <w:pPr>
              <w:jc w:val="center"/>
              <w:rPr>
                <w:rFonts w:ascii="宋体" w:hAnsi="宋体" w:cs="宋体"/>
                <w:color w:val="auto"/>
                <w:sz w:val="18"/>
                <w:szCs w:val="18"/>
              </w:rPr>
            </w:pPr>
            <w:r>
              <w:rPr>
                <w:rFonts w:hint="eastAsia" w:ascii="宋体" w:hAnsi="宋体"/>
                <w:color w:val="auto"/>
                <w:sz w:val="18"/>
                <w:szCs w:val="18"/>
              </w:rPr>
              <w:t>全资子公司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4544" w:type="dxa"/>
            <w:vAlign w:val="bottom"/>
          </w:tcPr>
          <w:p>
            <w:pPr>
              <w:rPr>
                <w:rFonts w:ascii="宋体" w:hAnsi="宋体" w:cs="宋体"/>
                <w:color w:val="auto"/>
                <w:sz w:val="18"/>
                <w:szCs w:val="18"/>
              </w:rPr>
            </w:pPr>
            <w:r>
              <w:rPr>
                <w:rFonts w:ascii="宋体" w:hAnsi="宋体"/>
                <w:color w:val="auto"/>
                <w:sz w:val="18"/>
                <w:szCs w:val="18"/>
              </w:rPr>
              <w:t>WEFLO VALVE LLC（美国公司）</w:t>
            </w:r>
          </w:p>
        </w:tc>
        <w:tc>
          <w:tcPr>
            <w:tcW w:w="4544" w:type="dxa"/>
            <w:vAlign w:val="bottom"/>
          </w:tcPr>
          <w:p>
            <w:pPr>
              <w:jc w:val="center"/>
              <w:rPr>
                <w:rFonts w:ascii="宋体" w:hAnsi="宋体" w:cs="宋体"/>
                <w:color w:val="auto"/>
                <w:sz w:val="18"/>
                <w:szCs w:val="18"/>
              </w:rPr>
            </w:pPr>
            <w:r>
              <w:rPr>
                <w:rFonts w:hint="eastAsia" w:ascii="宋体" w:hAnsi="宋体"/>
                <w:color w:val="auto"/>
                <w:sz w:val="18"/>
                <w:szCs w:val="18"/>
              </w:rPr>
              <w:t>全资子公司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4544" w:type="dxa"/>
            <w:vAlign w:val="bottom"/>
          </w:tcPr>
          <w:p>
            <w:pPr>
              <w:rPr>
                <w:rFonts w:ascii="宋体" w:hAnsi="宋体"/>
                <w:color w:val="auto"/>
                <w:sz w:val="18"/>
                <w:szCs w:val="18"/>
              </w:rPr>
            </w:pPr>
            <w:r>
              <w:rPr>
                <w:rFonts w:hint="eastAsia" w:ascii="宋体" w:hAnsi="宋体"/>
                <w:color w:val="auto"/>
                <w:sz w:val="18"/>
                <w:szCs w:val="18"/>
              </w:rPr>
              <w:t>青岛卓信检测技术有限责任公司</w:t>
            </w:r>
          </w:p>
        </w:tc>
        <w:tc>
          <w:tcPr>
            <w:tcW w:w="4544" w:type="dxa"/>
            <w:vAlign w:val="bottom"/>
          </w:tcPr>
          <w:p>
            <w:pPr>
              <w:jc w:val="center"/>
              <w:rPr>
                <w:rFonts w:ascii="宋体" w:hAnsi="宋体"/>
                <w:color w:val="auto"/>
                <w:sz w:val="18"/>
                <w:szCs w:val="18"/>
              </w:rPr>
            </w:pPr>
            <w:r>
              <w:rPr>
                <w:rFonts w:hint="eastAsia" w:ascii="宋体" w:hAnsi="宋体"/>
                <w:color w:val="auto"/>
                <w:sz w:val="18"/>
                <w:szCs w:val="18"/>
              </w:rPr>
              <w:t>全资子公司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4544" w:type="dxa"/>
            <w:vAlign w:val="bottom"/>
          </w:tcPr>
          <w:p>
            <w:pPr>
              <w:rPr>
                <w:rFonts w:ascii="宋体" w:hAnsi="宋体"/>
                <w:color w:val="auto"/>
                <w:sz w:val="18"/>
                <w:szCs w:val="18"/>
              </w:rPr>
            </w:pPr>
            <w:r>
              <w:rPr>
                <w:rFonts w:hint="eastAsia" w:asciiTheme="minorEastAsia" w:hAnsiTheme="minorEastAsia" w:eastAsiaTheme="minorEastAsia"/>
                <w:color w:val="auto"/>
                <w:sz w:val="18"/>
                <w:szCs w:val="18"/>
              </w:rPr>
              <w:t>偉隆（香港）實業有限公司</w:t>
            </w:r>
          </w:p>
        </w:tc>
        <w:tc>
          <w:tcPr>
            <w:tcW w:w="4544" w:type="dxa"/>
            <w:vAlign w:val="bottom"/>
          </w:tcPr>
          <w:p>
            <w:pPr>
              <w:jc w:val="center"/>
              <w:rPr>
                <w:rFonts w:ascii="宋体" w:hAnsi="宋体"/>
                <w:color w:val="auto"/>
                <w:sz w:val="18"/>
                <w:szCs w:val="18"/>
              </w:rPr>
            </w:pPr>
            <w:r>
              <w:rPr>
                <w:rFonts w:hint="eastAsia" w:ascii="宋体" w:hAnsi="宋体"/>
                <w:color w:val="auto"/>
                <w:sz w:val="18"/>
                <w:szCs w:val="18"/>
              </w:rPr>
              <w:t>全资子公司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4544" w:type="dxa"/>
            <w:vAlign w:val="bottom"/>
          </w:tcPr>
          <w:p>
            <w:pPr>
              <w:rPr>
                <w:rFonts w:ascii="宋体" w:hAnsi="宋体" w:cs="宋体"/>
                <w:color w:val="auto"/>
                <w:sz w:val="18"/>
                <w:szCs w:val="18"/>
              </w:rPr>
            </w:pPr>
            <w:r>
              <w:rPr>
                <w:rFonts w:hint="eastAsia" w:ascii="宋体" w:hAnsi="宋体"/>
                <w:color w:val="auto"/>
                <w:sz w:val="18"/>
                <w:szCs w:val="18"/>
              </w:rPr>
              <w:t>青岛伟隆五金机械有限公司</w:t>
            </w:r>
          </w:p>
        </w:tc>
        <w:tc>
          <w:tcPr>
            <w:tcW w:w="4544" w:type="dxa"/>
            <w:vAlign w:val="bottom"/>
          </w:tcPr>
          <w:p>
            <w:pPr>
              <w:jc w:val="center"/>
              <w:rPr>
                <w:rFonts w:ascii="宋体" w:hAnsi="宋体" w:cs="宋体"/>
                <w:color w:val="auto"/>
                <w:sz w:val="18"/>
                <w:szCs w:val="18"/>
              </w:rPr>
            </w:pPr>
            <w:r>
              <w:rPr>
                <w:rFonts w:hint="eastAsia" w:ascii="宋体" w:hAnsi="宋体"/>
                <w:color w:val="auto"/>
                <w:sz w:val="18"/>
                <w:szCs w:val="18"/>
              </w:rPr>
              <w:t>全资子公司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4544" w:type="dxa"/>
            <w:vAlign w:val="bottom"/>
          </w:tcPr>
          <w:p>
            <w:pPr>
              <w:adjustRightInd w:val="0"/>
              <w:snapToGrid w:val="0"/>
              <w:spacing w:line="400" w:lineRule="atLeast"/>
              <w:rPr>
                <w:rFonts w:ascii="宋体" w:hAnsi="宋体"/>
                <w:color w:val="auto"/>
                <w:sz w:val="18"/>
                <w:szCs w:val="18"/>
              </w:rPr>
            </w:pPr>
            <w:r>
              <w:rPr>
                <w:rFonts w:hint="eastAsia" w:ascii="宋体" w:hAnsi="宋体" w:cs="宋体"/>
                <w:color w:val="auto"/>
                <w:sz w:val="18"/>
                <w:szCs w:val="18"/>
              </w:rPr>
              <w:t>海南伟隆投资有限公司</w:t>
            </w:r>
          </w:p>
        </w:tc>
        <w:tc>
          <w:tcPr>
            <w:tcW w:w="4544" w:type="dxa"/>
            <w:vAlign w:val="bottom"/>
          </w:tcPr>
          <w:p>
            <w:pPr>
              <w:adjustRightInd w:val="0"/>
              <w:snapToGrid w:val="0"/>
              <w:spacing w:line="400" w:lineRule="atLeast"/>
              <w:ind w:left="718" w:leftChars="342" w:firstLine="900" w:firstLineChars="500"/>
              <w:rPr>
                <w:rFonts w:ascii="宋体" w:hAnsi="宋体"/>
                <w:color w:val="auto"/>
                <w:sz w:val="18"/>
                <w:szCs w:val="18"/>
              </w:rPr>
            </w:pPr>
            <w:r>
              <w:rPr>
                <w:rFonts w:hint="eastAsia" w:ascii="宋体" w:hAnsi="宋体"/>
                <w:color w:val="auto"/>
                <w:sz w:val="18"/>
                <w:szCs w:val="18"/>
              </w:rPr>
              <w:t>控股子公司</w:t>
            </w:r>
          </w:p>
        </w:tc>
      </w:tr>
    </w:tbl>
    <w:p>
      <w:pPr>
        <w:spacing w:before="150" w:beforeLines="50" w:line="360" w:lineRule="auto"/>
        <w:ind w:firstLine="420" w:firstLineChars="200"/>
        <w:outlineLvl w:val="1"/>
        <w:rPr>
          <w:rFonts w:ascii="宋体" w:hAnsi="Arial"/>
          <w:b/>
          <w:color w:val="auto"/>
        </w:rPr>
      </w:pPr>
      <w:r>
        <w:rPr>
          <w:rFonts w:hint="eastAsia" w:ascii="宋体" w:hAnsi="Arial"/>
          <w:b/>
          <w:color w:val="auto"/>
        </w:rPr>
        <w:t>（三）本期合并财务报表范围发生变更的情况</w:t>
      </w:r>
    </w:p>
    <w:p>
      <w:pPr>
        <w:spacing w:before="150" w:beforeLines="50" w:line="360" w:lineRule="auto"/>
        <w:ind w:firstLine="420" w:firstLineChars="200"/>
        <w:rPr>
          <w:rFonts w:ascii="宋体" w:hAnsi="宋体" w:cs="宋体"/>
          <w:snapToGrid w:val="0"/>
          <w:color w:val="auto"/>
          <w:kern w:val="0"/>
        </w:rPr>
      </w:pPr>
      <w:r>
        <w:rPr>
          <w:rFonts w:hint="eastAsia" w:ascii="宋体" w:hAnsi="宋体"/>
          <w:color w:val="auto"/>
        </w:rPr>
        <w:t>本期合并财务报表范围及变化情况详见</w:t>
      </w:r>
      <w:r>
        <w:rPr>
          <w:rFonts w:ascii="宋体" w:hAnsi="宋体"/>
          <w:color w:val="auto"/>
        </w:rPr>
        <w:t>“</w:t>
      </w:r>
      <w:r>
        <w:rPr>
          <w:rFonts w:hint="eastAsia" w:ascii="宋体" w:hAnsi="宋体"/>
          <w:color w:val="auto"/>
        </w:rPr>
        <w:t>附注六、合并范围的变更</w:t>
      </w:r>
      <w:r>
        <w:rPr>
          <w:rFonts w:ascii="宋体" w:hAnsi="宋体"/>
          <w:color w:val="auto"/>
        </w:rPr>
        <w:t>”</w:t>
      </w:r>
      <w:r>
        <w:rPr>
          <w:rFonts w:hint="eastAsia" w:ascii="宋体" w:hAnsi="宋体"/>
          <w:color w:val="auto"/>
        </w:rPr>
        <w:t>及</w:t>
      </w:r>
      <w:r>
        <w:rPr>
          <w:rFonts w:ascii="宋体" w:hAnsi="宋体"/>
          <w:color w:val="auto"/>
        </w:rPr>
        <w:t>“</w:t>
      </w:r>
      <w:r>
        <w:rPr>
          <w:rFonts w:hint="eastAsia" w:ascii="宋体" w:hAnsi="宋体"/>
          <w:color w:val="auto"/>
        </w:rPr>
        <w:t>附注七、在其他主体中的权益</w:t>
      </w:r>
      <w:r>
        <w:rPr>
          <w:rFonts w:ascii="宋体" w:hAnsi="宋体"/>
          <w:color w:val="auto"/>
        </w:rPr>
        <w:t>”</w:t>
      </w:r>
      <w:r>
        <w:rPr>
          <w:rFonts w:hint="eastAsia" w:ascii="宋体" w:hAnsi="宋体"/>
          <w:color w:val="auto"/>
        </w:rPr>
        <w:t>。</w:t>
      </w:r>
    </w:p>
    <w:p>
      <w:pPr>
        <w:pStyle w:val="5"/>
        <w:spacing w:before="150" w:beforeLines="50" w:after="150" w:afterLines="50" w:line="360" w:lineRule="auto"/>
        <w:ind w:firstLine="480" w:firstLineChars="200"/>
        <w:outlineLvl w:val="0"/>
        <w:rPr>
          <w:rFonts w:ascii="宋体" w:hAnsi="宋体" w:eastAsia="宋体"/>
          <w:b/>
          <w:color w:val="auto"/>
          <w:sz w:val="24"/>
          <w:szCs w:val="24"/>
        </w:rPr>
      </w:pPr>
      <w:r>
        <w:rPr>
          <w:rFonts w:hint="eastAsia" w:ascii="宋体" w:hAnsi="宋体" w:eastAsia="宋体"/>
          <w:b/>
          <w:color w:val="auto"/>
          <w:sz w:val="24"/>
          <w:szCs w:val="24"/>
        </w:rPr>
        <w:t>二、财务报表编制基础</w:t>
      </w:r>
    </w:p>
    <w:p>
      <w:pPr>
        <w:spacing w:before="150" w:before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（一）编制基础</w:t>
      </w:r>
    </w:p>
    <w:p>
      <w:pPr>
        <w:spacing w:before="150" w:beforeLines="50" w:after="150" w:afterLines="50" w:line="360" w:lineRule="auto"/>
        <w:ind w:firstLine="420" w:firstLineChars="200"/>
        <w:rPr>
          <w:rFonts w:ascii="宋体" w:hAnsi="宋体"/>
          <w:color w:val="auto"/>
          <w:kern w:val="0"/>
        </w:rPr>
      </w:pPr>
      <w:r>
        <w:rPr>
          <w:rFonts w:ascii="宋体" w:hAnsi="宋体"/>
          <w:color w:val="auto"/>
          <w:kern w:val="0"/>
        </w:rPr>
        <w:t>本公司财务报表以持续经营为基础，根据实际发生的交易和事项，按照财政部</w:t>
      </w:r>
      <w:r>
        <w:rPr>
          <w:rFonts w:hint="eastAsia" w:ascii="宋体" w:hAnsi="宋体"/>
          <w:color w:val="auto"/>
          <w:kern w:val="0"/>
        </w:rPr>
        <w:t>颁布的《企业会计准则》及</w:t>
      </w:r>
      <w:r>
        <w:rPr>
          <w:rFonts w:ascii="宋体" w:hAnsi="宋体"/>
          <w:color w:val="auto"/>
          <w:kern w:val="0"/>
        </w:rPr>
        <w:t>相关规定以及中国证券监督管理委员会《公开发行证券的公司信息披露编报规则第15号——财务报告的一般规定》（201</w:t>
      </w:r>
      <w:r>
        <w:rPr>
          <w:rFonts w:hint="eastAsia" w:ascii="宋体" w:hAnsi="宋体"/>
          <w:color w:val="auto"/>
          <w:kern w:val="0"/>
        </w:rPr>
        <w:t>4</w:t>
      </w:r>
      <w:r>
        <w:rPr>
          <w:rFonts w:ascii="宋体" w:hAnsi="宋体"/>
          <w:color w:val="auto"/>
          <w:kern w:val="0"/>
        </w:rPr>
        <w:t>年修订）的披露规定</w:t>
      </w:r>
      <w:r>
        <w:rPr>
          <w:rFonts w:hint="eastAsia" w:ascii="宋体" w:hAnsi="宋体"/>
          <w:color w:val="auto"/>
          <w:kern w:val="0"/>
        </w:rPr>
        <w:t>，并基于以下所述重要会计政策、会计估计进行编制。</w:t>
      </w:r>
    </w:p>
    <w:p>
      <w:pPr>
        <w:autoSpaceDE w:val="0"/>
        <w:autoSpaceDN w:val="0"/>
        <w:adjustRightInd w:val="0"/>
        <w:spacing w:line="360" w:lineRule="auto"/>
        <w:ind w:firstLine="420" w:firstLineChars="200"/>
        <w:rPr>
          <w:rFonts w:ascii="宋体" w:hAnsi="宋体" w:cs="Arial"/>
          <w:color w:val="auto"/>
          <w:kern w:val="0"/>
        </w:rPr>
      </w:pPr>
      <w:r>
        <w:rPr>
          <w:rFonts w:hint="eastAsia" w:ascii="宋体" w:hAnsi="宋体" w:cs="Arial"/>
          <w:color w:val="auto"/>
          <w:kern w:val="0"/>
        </w:rPr>
        <w:t>本公司会计核算以权责发生制为基础。除某些金融工具以外，本财务报表均以历史成本为计量基础。资产如果发生减值，则按照相关规定计提相应的减值准备。</w:t>
      </w:r>
    </w:p>
    <w:p>
      <w:pPr>
        <w:spacing w:before="150" w:before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（二）持续经营</w:t>
      </w:r>
    </w:p>
    <w:p>
      <w:pPr>
        <w:spacing w:line="360" w:lineRule="auto"/>
        <w:ind w:firstLine="420" w:firstLineChars="200"/>
        <w:rPr>
          <w:rFonts w:ascii="宋体" w:hAnsi="宋体" w:cs="MingLiU"/>
          <w:color w:val="auto"/>
          <w:kern w:val="0"/>
          <w:szCs w:val="21"/>
        </w:rPr>
      </w:pPr>
      <w:r>
        <w:rPr>
          <w:rFonts w:hint="eastAsia" w:ascii="宋体" w:hAnsi="宋体" w:cs="MingLiU"/>
          <w:color w:val="auto"/>
          <w:kern w:val="0"/>
          <w:szCs w:val="21"/>
        </w:rPr>
        <w:t>报告期内及报告期末起至少十二个月，公司业务稳定，资产负债结构合理，具备持续经营能力，不存在影响持续经营能力的重大不利风险。</w:t>
      </w:r>
    </w:p>
    <w:p>
      <w:pPr>
        <w:pStyle w:val="5"/>
        <w:spacing w:before="150" w:beforeLines="50" w:after="150" w:afterLines="50" w:line="360" w:lineRule="auto"/>
        <w:ind w:firstLine="480" w:firstLineChars="200"/>
        <w:outlineLvl w:val="0"/>
        <w:rPr>
          <w:rFonts w:ascii="宋体" w:hAnsi="宋体" w:eastAsia="宋体"/>
          <w:b/>
          <w:color w:val="auto"/>
          <w:sz w:val="24"/>
          <w:szCs w:val="24"/>
        </w:rPr>
      </w:pPr>
      <w:r>
        <w:rPr>
          <w:rFonts w:hint="eastAsia" w:ascii="宋体" w:hAnsi="宋体" w:eastAsia="宋体"/>
          <w:b/>
          <w:color w:val="auto"/>
          <w:sz w:val="24"/>
          <w:szCs w:val="24"/>
        </w:rPr>
        <w:t>三、重要会计政策、会计估计</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（一）遵循企业会计准则的声明</w:t>
      </w:r>
    </w:p>
    <w:p>
      <w:pPr>
        <w:spacing w:line="360" w:lineRule="auto"/>
        <w:ind w:firstLine="420" w:firstLineChars="200"/>
        <w:rPr>
          <w:rFonts w:ascii="宋体" w:hAnsi="宋体" w:cs="MingLiU"/>
          <w:color w:val="auto"/>
          <w:kern w:val="0"/>
          <w:szCs w:val="21"/>
        </w:rPr>
      </w:pPr>
      <w:r>
        <w:rPr>
          <w:rFonts w:hint="eastAsia" w:ascii="宋体" w:hAnsi="宋体" w:cs="MingLiU"/>
          <w:color w:val="auto"/>
          <w:kern w:val="0"/>
          <w:szCs w:val="21"/>
        </w:rPr>
        <w:t>本公司编制的财务报表符合企业会计准则的要求，真实、完整地反映了本公司202</w:t>
      </w:r>
      <w:r>
        <w:rPr>
          <w:rFonts w:ascii="宋体" w:hAnsi="宋体" w:cs="MingLiU"/>
          <w:color w:val="auto"/>
          <w:kern w:val="0"/>
          <w:szCs w:val="21"/>
        </w:rPr>
        <w:t>2</w:t>
      </w:r>
      <w:r>
        <w:rPr>
          <w:rFonts w:hint="eastAsia" w:ascii="宋体" w:hAnsi="宋体" w:cs="MingLiU"/>
          <w:color w:val="auto"/>
          <w:kern w:val="0"/>
          <w:szCs w:val="21"/>
        </w:rPr>
        <w:t>年12月31日的财务状况及202</w:t>
      </w:r>
      <w:r>
        <w:rPr>
          <w:rFonts w:ascii="宋体" w:hAnsi="宋体" w:cs="MingLiU"/>
          <w:color w:val="auto"/>
          <w:kern w:val="0"/>
          <w:szCs w:val="21"/>
        </w:rPr>
        <w:t>2</w:t>
      </w:r>
      <w:r>
        <w:rPr>
          <w:rFonts w:hint="eastAsia" w:ascii="宋体" w:hAnsi="宋体" w:cs="MingLiU"/>
          <w:color w:val="auto"/>
          <w:kern w:val="0"/>
          <w:szCs w:val="21"/>
        </w:rPr>
        <w:t>年度的经营成果和现金流量等有关信息。</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（二）会计期间</w:t>
      </w:r>
    </w:p>
    <w:p>
      <w:pPr>
        <w:spacing w:line="360" w:lineRule="auto"/>
        <w:ind w:firstLine="420" w:firstLineChars="200"/>
        <w:rPr>
          <w:rFonts w:ascii="宋体" w:hAnsi="宋体" w:cs="MingLiU"/>
          <w:color w:val="auto"/>
          <w:kern w:val="0"/>
          <w:szCs w:val="21"/>
        </w:rPr>
      </w:pPr>
      <w:r>
        <w:rPr>
          <w:rFonts w:hint="eastAsia" w:ascii="宋体" w:hAnsi="宋体" w:cs="MingLiU"/>
          <w:color w:val="auto"/>
          <w:kern w:val="0"/>
          <w:szCs w:val="21"/>
        </w:rPr>
        <w:t>本公司会计年度为公历年度，即每年</w:t>
      </w:r>
      <w:r>
        <w:rPr>
          <w:rFonts w:ascii="宋体" w:hAnsi="宋体" w:cs="MingLiU"/>
          <w:color w:val="auto"/>
          <w:kern w:val="0"/>
          <w:szCs w:val="21"/>
        </w:rPr>
        <w:t>1</w:t>
      </w:r>
      <w:r>
        <w:rPr>
          <w:rFonts w:hint="eastAsia" w:ascii="宋体" w:hAnsi="宋体" w:cs="MingLiU"/>
          <w:color w:val="auto"/>
          <w:kern w:val="0"/>
          <w:szCs w:val="21"/>
        </w:rPr>
        <w:t>月</w:t>
      </w:r>
      <w:r>
        <w:rPr>
          <w:rFonts w:ascii="宋体" w:hAnsi="宋体" w:cs="MingLiU"/>
          <w:color w:val="auto"/>
          <w:kern w:val="0"/>
          <w:szCs w:val="21"/>
        </w:rPr>
        <w:t>1</w:t>
      </w:r>
      <w:r>
        <w:rPr>
          <w:rFonts w:hint="eastAsia" w:ascii="宋体" w:hAnsi="宋体" w:cs="MingLiU"/>
          <w:color w:val="auto"/>
          <w:kern w:val="0"/>
          <w:szCs w:val="21"/>
        </w:rPr>
        <w:t>日起至</w:t>
      </w:r>
      <w:r>
        <w:rPr>
          <w:rFonts w:ascii="宋体" w:hAnsi="宋体" w:cs="MingLiU"/>
          <w:color w:val="auto"/>
          <w:kern w:val="0"/>
          <w:szCs w:val="21"/>
        </w:rPr>
        <w:t>12</w:t>
      </w:r>
      <w:r>
        <w:rPr>
          <w:rFonts w:hint="eastAsia" w:ascii="宋体" w:hAnsi="宋体" w:cs="MingLiU"/>
          <w:color w:val="auto"/>
          <w:kern w:val="0"/>
          <w:szCs w:val="21"/>
        </w:rPr>
        <w:t>月</w:t>
      </w:r>
      <w:r>
        <w:rPr>
          <w:rFonts w:ascii="宋体" w:hAnsi="宋体" w:cs="MingLiU"/>
          <w:color w:val="auto"/>
          <w:kern w:val="0"/>
          <w:szCs w:val="21"/>
        </w:rPr>
        <w:t>31</w:t>
      </w:r>
      <w:r>
        <w:rPr>
          <w:rFonts w:hint="eastAsia" w:ascii="宋体" w:hAnsi="宋体" w:cs="MingLiU"/>
          <w:color w:val="auto"/>
          <w:kern w:val="0"/>
          <w:szCs w:val="21"/>
        </w:rPr>
        <w:t>日止。</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（三）营业周期</w:t>
      </w:r>
    </w:p>
    <w:p>
      <w:pPr>
        <w:spacing w:before="150" w:beforeLines="50" w:line="360" w:lineRule="auto"/>
        <w:ind w:firstLine="420" w:firstLineChars="200"/>
        <w:rPr>
          <w:rFonts w:ascii="宋体" w:hAnsi="宋体" w:cs="MingLiU"/>
          <w:color w:val="auto"/>
          <w:kern w:val="0"/>
          <w:szCs w:val="21"/>
        </w:rPr>
      </w:pPr>
      <w:r>
        <w:rPr>
          <w:rFonts w:hint="eastAsia" w:ascii="宋体" w:hAnsi="宋体" w:cs="MingLiU"/>
          <w:color w:val="auto"/>
          <w:kern w:val="0"/>
          <w:szCs w:val="21"/>
        </w:rPr>
        <w:t>正常营业周期，是指公司从购买用于加工的资产起至实现现金或现金等价物的期间。本公司以</w:t>
      </w:r>
      <w:r>
        <w:rPr>
          <w:rFonts w:ascii="宋体" w:hAnsi="宋体" w:cs="MingLiU"/>
          <w:color w:val="auto"/>
          <w:kern w:val="0"/>
          <w:szCs w:val="21"/>
        </w:rPr>
        <w:t>12</w:t>
      </w:r>
      <w:r>
        <w:rPr>
          <w:rFonts w:hint="eastAsia" w:ascii="宋体" w:hAnsi="宋体" w:cs="MingLiU"/>
          <w:color w:val="auto"/>
          <w:kern w:val="0"/>
          <w:szCs w:val="21"/>
        </w:rPr>
        <w:t>个月作为正常营业周期，并以其作为资产与负债流动性划分的标准。</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（四）记账本位币</w:t>
      </w:r>
    </w:p>
    <w:p>
      <w:pPr>
        <w:spacing w:line="360" w:lineRule="auto"/>
        <w:ind w:firstLine="420" w:firstLineChars="200"/>
        <w:rPr>
          <w:rFonts w:ascii="宋体" w:hAnsi="宋体" w:cs="MingLiU"/>
          <w:color w:val="auto"/>
          <w:kern w:val="0"/>
          <w:szCs w:val="21"/>
        </w:rPr>
      </w:pPr>
      <w:r>
        <w:rPr>
          <w:rFonts w:hint="eastAsia" w:ascii="宋体" w:hAnsi="宋体" w:cs="MingLiU"/>
          <w:color w:val="auto"/>
          <w:kern w:val="0"/>
          <w:szCs w:val="21"/>
        </w:rPr>
        <w:t>公司及境内子公司以人民币为记账本位币。公司之境外子公司根据其经营所处的主要经济环境中的货币决定其记账本位币，编制财务报表时折算成人民币。</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（五）同一控制下和非同一控制下企业合并的会计处理方法</w:t>
      </w:r>
    </w:p>
    <w:p>
      <w:pPr>
        <w:spacing w:line="360" w:lineRule="auto"/>
        <w:ind w:firstLine="420" w:firstLineChars="200"/>
        <w:rPr>
          <w:rFonts w:ascii="宋体" w:hAnsi="宋体" w:cs="MingLiU"/>
          <w:color w:val="auto"/>
          <w:kern w:val="0"/>
          <w:szCs w:val="21"/>
        </w:rPr>
      </w:pPr>
      <w:r>
        <w:rPr>
          <w:rFonts w:hint="eastAsia" w:ascii="宋体" w:hAnsi="宋体" w:cs="MingLiU"/>
          <w:color w:val="auto"/>
          <w:kern w:val="0"/>
          <w:szCs w:val="21"/>
        </w:rPr>
        <w:t>企业合并，是指将两个或两个以上单独的企业合并形成一个报告主体的交易或事项。企业合并分为同一控制下企业合并和非同一控制下企业合并。</w:t>
      </w:r>
    </w:p>
    <w:p>
      <w:pPr>
        <w:spacing w:line="360" w:lineRule="auto"/>
        <w:ind w:firstLine="420" w:firstLineChars="200"/>
        <w:rPr>
          <w:rFonts w:ascii="宋体" w:hAnsi="宋体"/>
          <w:b/>
          <w:color w:val="auto"/>
          <w:szCs w:val="21"/>
        </w:rPr>
      </w:pPr>
      <w:r>
        <w:rPr>
          <w:rFonts w:hint="eastAsia" w:ascii="宋体" w:hAnsi="宋体"/>
          <w:b/>
          <w:color w:val="auto"/>
          <w:szCs w:val="21"/>
        </w:rPr>
        <w:t>1、同一控制下的企业合并</w:t>
      </w:r>
    </w:p>
    <w:p>
      <w:pPr>
        <w:pStyle w:val="8"/>
        <w:spacing w:before="0" w:beforeAutospacing="0" w:after="0" w:afterAutospacing="0" w:line="360" w:lineRule="auto"/>
        <w:ind w:firstLine="420" w:firstLineChars="200"/>
        <w:jc w:val="both"/>
        <w:rPr>
          <w:rFonts w:cs="宋体"/>
          <w:color w:val="auto"/>
          <w:sz w:val="21"/>
          <w:szCs w:val="21"/>
        </w:rPr>
      </w:pPr>
      <w:r>
        <w:rPr>
          <w:color w:val="auto"/>
          <w:sz w:val="21"/>
          <w:szCs w:val="21"/>
        </w:rPr>
        <w:t>参与合并的企业在合并前后均受同一方或相同的多方最终控制且该控制并非暂时性的，为同一控制下的企业合并。</w:t>
      </w:r>
      <w:r>
        <w:rPr>
          <w:rFonts w:hint="eastAsia" w:cs="宋体"/>
          <w:color w:val="auto"/>
          <w:sz w:val="21"/>
          <w:szCs w:val="21"/>
        </w:rPr>
        <w:t>同一控制下的企业合并，在合并日取得对其他参与合并企业控制权的一方为合并方，参与合并的其他企业为被合并方。合并日，是指合并方实际取得对被合并方控制权的日期。</w:t>
      </w:r>
    </w:p>
    <w:p>
      <w:pPr>
        <w:spacing w:line="360" w:lineRule="auto"/>
        <w:ind w:firstLine="420" w:firstLineChars="200"/>
        <w:rPr>
          <w:rFonts w:ascii="宋体" w:hAnsi="宋体" w:cs="MingLiU"/>
          <w:color w:val="auto"/>
          <w:kern w:val="0"/>
          <w:szCs w:val="21"/>
        </w:rPr>
      </w:pPr>
      <w:r>
        <w:rPr>
          <w:rFonts w:hint="eastAsia" w:ascii="宋体" w:hAnsi="宋体" w:cs="MingLiU"/>
          <w:color w:val="auto"/>
          <w:kern w:val="0"/>
          <w:szCs w:val="21"/>
        </w:rPr>
        <w:t>同一控制下企业合并形成的长期股权投资合并方以支付现金、转让非现金资产或承担债务方式作为合并对价的，本公司在合并日按照所取得的被合并方在最终控制方合并财务报表中的净资产的账面价值的份额作为长期股权投资的初始投资成本。被合并方在合并日的净资产账面价值为负数的，长期股权投资成本按零确定。如果被合并方在被合并以前，是最终控制方通过非同一控制下的企业合并所控制的，则合并方长期股权投资的初始投资成本包含了相关的商誉金额。长期股权投资的初始投资成本与支付的现金、转让的非现金资产及所承担债务账面价值之间的差额，应当调整资本公积（股本溢价）；资本公积（股本溢价）的余额不足冲减的，依次冲减盈余公积和未分配利润。合并方以发行权益性工具作为合并对价的，按发行股份的面值总额作为股本，长期股权投资的初始投资成本与所发行股份面值总额之间的差额，调整资本公积（股本溢价）；资本公积（股本溢价）不足冲减的，依次冲减盈余公积和未分配利润。</w:t>
      </w:r>
    </w:p>
    <w:p>
      <w:pPr>
        <w:spacing w:line="360" w:lineRule="auto"/>
        <w:ind w:firstLine="420" w:firstLineChars="200"/>
        <w:rPr>
          <w:rFonts w:ascii="宋体" w:hAnsi="宋体" w:cs="MingLiU"/>
          <w:color w:val="auto"/>
          <w:kern w:val="0"/>
          <w:szCs w:val="21"/>
        </w:rPr>
      </w:pPr>
      <w:r>
        <w:rPr>
          <w:rFonts w:hint="eastAsia" w:ascii="宋体" w:hAnsi="宋体" w:cs="MingLiU"/>
          <w:color w:val="auto"/>
          <w:kern w:val="0"/>
          <w:szCs w:val="21"/>
        </w:rPr>
        <w:t>合并方发生的审计、法律服务、评估咨询等中介费用以及其他相关管理费用，于发生时计入当期损益。与发行权益性工具作为合并对价直接相关的交易费用，冲减资本公积（股本溢价），资本公积（股本溢价）不足冲减的，依次冲减盈余公积和未分配利润。与发行债务性工具作为合并对价直接相关的交易费用，计入债务性工具的初始确认金额。</w:t>
      </w:r>
    </w:p>
    <w:p>
      <w:pPr>
        <w:spacing w:line="360" w:lineRule="auto"/>
        <w:ind w:firstLine="420" w:firstLineChars="200"/>
        <w:rPr>
          <w:rFonts w:ascii="宋体" w:hAnsi="宋体" w:cs="MingLiU"/>
          <w:color w:val="auto"/>
          <w:kern w:val="0"/>
          <w:szCs w:val="21"/>
        </w:rPr>
      </w:pPr>
      <w:r>
        <w:rPr>
          <w:rFonts w:hint="eastAsia" w:ascii="宋体" w:hAnsi="宋体" w:cs="MingLiU"/>
          <w:color w:val="auto"/>
          <w:kern w:val="0"/>
          <w:szCs w:val="21"/>
        </w:rPr>
        <w:t>通过多次交易分步实现同一控制下企业合并，属于“一揽子交易”的，合并方应当将各项交易作为一项取得控制权的交易进行会计处理。不属于“一揽子交易”的，在母公司财务报表中，以合并日持股比例计算的合并日应享有被合并方账面所有者权益份额作为该项投资的初始投资成本，初始投资成本与其原长期股权投资账面价值加上合并日取得进一步股份新支付对价的账面价值之和的差额，调整资本公积（股本溢价），资本公积不足冲减的，冲减留存收益。</w:t>
      </w:r>
    </w:p>
    <w:p>
      <w:pPr>
        <w:spacing w:line="360" w:lineRule="auto"/>
        <w:ind w:firstLine="420" w:firstLineChars="200"/>
        <w:rPr>
          <w:rFonts w:ascii="宋体" w:hAnsi="宋体" w:cs="MingLiU"/>
          <w:color w:val="auto"/>
          <w:kern w:val="0"/>
          <w:szCs w:val="21"/>
        </w:rPr>
      </w:pPr>
      <w:r>
        <w:rPr>
          <w:rFonts w:hint="eastAsia" w:ascii="宋体" w:hAnsi="宋体" w:cs="MingLiU"/>
          <w:color w:val="auto"/>
          <w:kern w:val="0"/>
          <w:szCs w:val="21"/>
        </w:rPr>
        <w:t>在合并财务报表中，合并方在达到合并之前持有的长期股权投资，在取得日与合并方与被合并方向处于同一最终控制之日孰晚日与合并日之间已确认有关损益、其他综合收益和其他所有者权益变动，应分别冲减比较报表期间的期初留存收益或当期损益。</w:t>
      </w:r>
    </w:p>
    <w:p>
      <w:pPr>
        <w:spacing w:line="360" w:lineRule="auto"/>
        <w:ind w:firstLine="420" w:firstLineChars="200"/>
        <w:rPr>
          <w:rFonts w:ascii="宋体" w:hAnsi="宋体"/>
          <w:b/>
          <w:color w:val="auto"/>
          <w:szCs w:val="21"/>
        </w:rPr>
      </w:pPr>
      <w:r>
        <w:rPr>
          <w:rFonts w:hint="eastAsia" w:ascii="宋体" w:hAnsi="宋体"/>
          <w:b/>
          <w:color w:val="auto"/>
          <w:szCs w:val="21"/>
        </w:rPr>
        <w:t>2、非同一控制下的企业合并</w:t>
      </w:r>
    </w:p>
    <w:p>
      <w:pPr>
        <w:widowControl/>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参与合并的各方在合并前后不受同一方或相同的多方最终控制的，为非同一控制下的企业合并。非同一控制下的企业合并，在购买日取得对其他参与合并企业控制权的一方为购买方，参与合并的其他企业为被购买方。购买日，是指购买方实际取得对被购买方控制权的日期。</w:t>
      </w:r>
    </w:p>
    <w:p>
      <w:pPr>
        <w:pStyle w:val="4"/>
        <w:spacing w:line="360" w:lineRule="auto"/>
        <w:ind w:firstLine="200"/>
        <w:rPr>
          <w:rFonts w:hAnsi="宋体"/>
          <w:color w:val="auto"/>
          <w:kern w:val="0"/>
        </w:rPr>
      </w:pPr>
      <w:r>
        <w:rPr>
          <w:rFonts w:hint="eastAsia" w:hAnsi="宋体"/>
          <w:color w:val="auto"/>
          <w:kern w:val="0"/>
        </w:rPr>
        <w:t>对于非同一控制下的企业合并，合并成本为购买方在购买日为取得对被购买方的控制权而付出的资产、发生或承担的负债以及发行的权益性证券的公允价值之和。购买方为企业合并发生的审计、法律服务、评估咨询等中介费用以及其他相关管理费用，应于发生时计入当期损益。购买方作为合并对价发行的权益性工具或债务性工具的交易费用，应当计入权益性工具或债务性工具的初始确认金额。所涉及的或有对价按其在购买日的公允价值计入合并成本，购买日后 12 个月内出现对购买日已存在情况的新的或进一步证据而需要调整或有对价的，相应调整合并商誉。</w:t>
      </w:r>
    </w:p>
    <w:p>
      <w:pPr>
        <w:pStyle w:val="4"/>
        <w:spacing w:line="360" w:lineRule="auto"/>
        <w:ind w:firstLine="420" w:firstLineChars="200"/>
        <w:rPr>
          <w:rFonts w:hAnsi="宋体"/>
          <w:color w:val="auto"/>
          <w:kern w:val="0"/>
        </w:rPr>
      </w:pPr>
      <w:r>
        <w:rPr>
          <w:rFonts w:hint="eastAsia" w:hAnsi="宋体"/>
          <w:color w:val="auto"/>
          <w:kern w:val="0"/>
        </w:rPr>
        <w:t>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方各项可辨认资产、负债及或有负债的公允价值以及合并成本的计量进行复核，复核后合并成本仍小于合并中取得的被购买方可辨认净资产公允价值份额的，其差额计入当期损益。</w:t>
      </w:r>
    </w:p>
    <w:p>
      <w:pPr>
        <w:pStyle w:val="4"/>
        <w:spacing w:line="360" w:lineRule="auto"/>
        <w:ind w:firstLine="420" w:firstLineChars="200"/>
        <w:rPr>
          <w:rFonts w:hAnsi="宋体"/>
          <w:color w:val="auto"/>
          <w:kern w:val="0"/>
        </w:rPr>
      </w:pPr>
      <w:r>
        <w:rPr>
          <w:rFonts w:hint="eastAsia" w:hAnsi="宋体"/>
          <w:color w:val="auto"/>
          <w:kern w:val="0"/>
        </w:rPr>
        <w:t>通过多次交易分步实现非同一控制下企业合并的，在母公司财务报表中，以购买日之前所持被购买方的股权投资的账面价值与购买日新增投资成本之和，作为该项投资的初始投资成本。</w:t>
      </w:r>
    </w:p>
    <w:p>
      <w:pPr>
        <w:pStyle w:val="4"/>
        <w:spacing w:line="360" w:lineRule="auto"/>
        <w:ind w:firstLine="420" w:firstLineChars="200"/>
        <w:rPr>
          <w:rFonts w:hAnsi="宋体"/>
          <w:color w:val="auto"/>
          <w:kern w:val="0"/>
        </w:rPr>
      </w:pPr>
      <w:r>
        <w:rPr>
          <w:rFonts w:hint="eastAsia" w:hAnsi="宋体"/>
          <w:color w:val="auto"/>
          <w:kern w:val="0"/>
        </w:rPr>
        <w:t>在合并应当转为购买日所属当期投资收益，不能重分类计入当期损益的其他综合收益除外。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w:t>
      </w:r>
    </w:p>
    <w:p>
      <w:pPr>
        <w:spacing w:line="360" w:lineRule="auto"/>
        <w:ind w:firstLine="420" w:firstLineChars="200"/>
        <w:rPr>
          <w:rFonts w:ascii="宋体" w:hAnsi="宋体" w:cs="MingLiU"/>
          <w:color w:val="auto"/>
          <w:kern w:val="0"/>
          <w:szCs w:val="21"/>
        </w:rPr>
      </w:pPr>
      <w:r>
        <w:rPr>
          <w:rFonts w:hint="eastAsia" w:ascii="宋体" w:hAnsi="宋体"/>
          <w:color w:val="auto"/>
          <w:kern w:val="0"/>
        </w:rPr>
        <w:t>本公司以购买日之前所持被购买方的股权于购买日的公允价值与购买日新购入股权所支付对价的公允价值之和作为合并成本，与购买方取得的按购买日持股比例计算应享有的被购买方可辨认净资产于购买日的公允价值的份额比较，确定购买日应予确认的商誉或应计入合并当期损益的金额。</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（六）合并财务报表的编制方法</w:t>
      </w:r>
    </w:p>
    <w:p>
      <w:pPr>
        <w:spacing w:line="360" w:lineRule="auto"/>
        <w:ind w:firstLine="420" w:firstLineChars="200"/>
        <w:rPr>
          <w:rFonts w:ascii="宋体" w:hAnsi="宋体"/>
          <w:b/>
          <w:color w:val="auto"/>
          <w:szCs w:val="21"/>
        </w:rPr>
      </w:pPr>
      <w:r>
        <w:rPr>
          <w:rFonts w:hint="eastAsia" w:ascii="宋体" w:hAnsi="宋体"/>
          <w:b/>
          <w:color w:val="auto"/>
          <w:szCs w:val="21"/>
        </w:rPr>
        <w:t>1、合并财务报表范围</w:t>
      </w:r>
    </w:p>
    <w:p>
      <w:pPr>
        <w:spacing w:line="360" w:lineRule="auto"/>
        <w:ind w:firstLine="420" w:firstLineChars="200"/>
        <w:rPr>
          <w:rFonts w:ascii="宋体" w:hAnsi="宋体"/>
          <w:color w:val="auto"/>
          <w:kern w:val="0"/>
        </w:rPr>
      </w:pPr>
      <w:r>
        <w:rPr>
          <w:rFonts w:hint="eastAsia" w:ascii="宋体" w:hAnsi="宋体"/>
          <w:bCs/>
          <w:color w:val="auto"/>
        </w:rPr>
        <w:t>公司对合并财务报表的合并范围以控制为基础予以确定。</w:t>
      </w:r>
      <w:r>
        <w:rPr>
          <w:rFonts w:hint="eastAsia" w:ascii="宋体" w:hAnsi="宋体"/>
          <w:color w:val="auto"/>
          <w:kern w:val="0"/>
        </w:rPr>
        <w:t>本公司将全部子公司纳入合并财务报表范围。</w:t>
      </w:r>
    </w:p>
    <w:p>
      <w:pPr>
        <w:spacing w:line="360" w:lineRule="auto"/>
        <w:ind w:firstLine="420" w:firstLineChars="200"/>
        <w:rPr>
          <w:rFonts w:ascii="宋体" w:hAnsi="宋体"/>
          <w:b/>
          <w:color w:val="auto"/>
          <w:szCs w:val="21"/>
        </w:rPr>
      </w:pPr>
      <w:r>
        <w:rPr>
          <w:rFonts w:hint="eastAsia" w:ascii="宋体" w:hAnsi="宋体"/>
          <w:b/>
          <w:color w:val="auto"/>
          <w:szCs w:val="21"/>
        </w:rPr>
        <w:t>2、统一母子公司的会计政策、统一母子公司的资产负债表日及会计期间</w:t>
      </w:r>
    </w:p>
    <w:p>
      <w:pPr>
        <w:pStyle w:val="4"/>
        <w:snapToGrid w:val="0"/>
        <w:spacing w:line="360" w:lineRule="auto"/>
        <w:ind w:firstLine="200"/>
        <w:rPr>
          <w:rFonts w:hAnsi="宋体"/>
          <w:color w:val="auto"/>
          <w:kern w:val="0"/>
        </w:rPr>
      </w:pPr>
      <w:r>
        <w:rPr>
          <w:rFonts w:hint="eastAsia" w:hAnsi="宋体"/>
          <w:color w:val="auto"/>
          <w:kern w:val="0"/>
        </w:rPr>
        <w:t>子公司与本公司采用的会计政策或会计期间不一致的，在编制合并财务报表时，按照本公司的会计政策或会计期间对子公司财务报表进行必要的调整。</w:t>
      </w:r>
      <w:r>
        <w:rPr>
          <w:rFonts w:hint="eastAsia" w:hAnsi="宋体"/>
          <w:bCs/>
          <w:color w:val="auto"/>
        </w:rPr>
        <w:t>对非同一控制下企业合并取得的子公司，已按照购买日该子公司可辨认的资产、负债及或有负债的公允价值对子公司财务报表进行了相应的调整。</w:t>
      </w:r>
    </w:p>
    <w:p>
      <w:pPr>
        <w:spacing w:line="360" w:lineRule="auto"/>
        <w:ind w:firstLine="420" w:firstLineChars="200"/>
        <w:rPr>
          <w:rFonts w:ascii="宋体" w:hAnsi="宋体"/>
          <w:b/>
          <w:color w:val="auto"/>
          <w:szCs w:val="21"/>
        </w:rPr>
      </w:pPr>
      <w:r>
        <w:rPr>
          <w:rFonts w:hint="eastAsia" w:ascii="宋体" w:hAnsi="宋体"/>
          <w:b/>
          <w:color w:val="auto"/>
          <w:szCs w:val="21"/>
        </w:rPr>
        <w:t>3、合并财务报表抵销事项</w:t>
      </w:r>
    </w:p>
    <w:p>
      <w:pPr>
        <w:pStyle w:val="4"/>
        <w:snapToGrid w:val="0"/>
        <w:spacing w:line="360" w:lineRule="auto"/>
        <w:ind w:firstLine="200"/>
        <w:rPr>
          <w:rFonts w:hAnsi="宋体"/>
          <w:color w:val="auto"/>
          <w:kern w:val="0"/>
        </w:rPr>
      </w:pPr>
      <w:r>
        <w:rPr>
          <w:rFonts w:hint="eastAsia" w:hAnsi="宋体"/>
          <w:color w:val="auto"/>
          <w:kern w:val="0"/>
        </w:rPr>
        <w:t>合并财务报表以母公司和子公司的资产负债表为基础，已抵销了母公司与子公司、子公司相互之间发生的内部交易。子公司所有者权益中不属于母公司的份额，作为少数股东权益，在合并资产负债表中所有者权益项目下以“少数股东权益”项目列示。</w:t>
      </w:r>
    </w:p>
    <w:p>
      <w:pPr>
        <w:pStyle w:val="4"/>
        <w:snapToGrid w:val="0"/>
        <w:spacing w:line="360" w:lineRule="auto"/>
        <w:ind w:firstLine="200"/>
        <w:rPr>
          <w:rFonts w:hAnsi="宋体"/>
          <w:color w:val="auto"/>
          <w:kern w:val="0"/>
        </w:rPr>
      </w:pPr>
      <w:r>
        <w:rPr>
          <w:rFonts w:hint="eastAsia" w:hAnsi="宋体"/>
          <w:color w:val="auto"/>
          <w:kern w:val="0"/>
        </w:rPr>
        <w:t>子公司持有母公司的长期股权投资，视为企业集团的库存股，作为所有者权益的减项，在合并资产负债表中所有者权益项目下以“减：库存股”项目列示。</w:t>
      </w:r>
    </w:p>
    <w:p>
      <w:pPr>
        <w:spacing w:line="360" w:lineRule="auto"/>
        <w:ind w:firstLine="420" w:firstLineChars="200"/>
        <w:rPr>
          <w:rFonts w:ascii="宋体" w:hAnsi="宋体"/>
          <w:b/>
          <w:color w:val="auto"/>
          <w:szCs w:val="21"/>
        </w:rPr>
      </w:pPr>
      <w:r>
        <w:rPr>
          <w:rFonts w:hint="eastAsia" w:ascii="宋体" w:hAnsi="宋体"/>
          <w:b/>
          <w:color w:val="auto"/>
          <w:szCs w:val="21"/>
        </w:rPr>
        <w:t>4、合并取得子公司会计处理</w:t>
      </w:r>
    </w:p>
    <w:p>
      <w:pPr>
        <w:spacing w:line="360" w:lineRule="auto"/>
        <w:ind w:firstLine="420" w:firstLineChars="200"/>
        <w:rPr>
          <w:rFonts w:ascii="宋体" w:hAnsi="宋体"/>
          <w:color w:val="auto"/>
          <w:kern w:val="0"/>
        </w:rPr>
      </w:pPr>
      <w:r>
        <w:rPr>
          <w:rFonts w:hint="eastAsia" w:ascii="宋体" w:hAnsi="宋体"/>
          <w:color w:val="auto"/>
          <w:kern w:val="0"/>
        </w:rPr>
        <w:t>对于本公司同一控制下企业合并取得的子公司，视同该企业合并自最终控制方开始实施控制时已经发生，调整合并资产负债表的期初数，将子公司或业务合并当期期初至报告期末的收入、费用、利润纳入合并利润表，将子公司或业务合并当期期初至报告期末的现金流量纳入合并现金流量表，同时对比较报表的相关项目进行调整；</w:t>
      </w:r>
    </w:p>
    <w:p>
      <w:pPr>
        <w:spacing w:line="360" w:lineRule="auto"/>
        <w:ind w:firstLine="420" w:firstLineChars="200"/>
        <w:rPr>
          <w:rFonts w:ascii="宋体" w:hAnsi="宋体"/>
          <w:color w:val="auto"/>
          <w:kern w:val="0"/>
        </w:rPr>
      </w:pPr>
      <w:r>
        <w:rPr>
          <w:rFonts w:hint="eastAsia" w:ascii="宋体" w:hAnsi="宋体"/>
          <w:color w:val="auto"/>
          <w:kern w:val="0"/>
        </w:rPr>
        <w:t>对于本公司非同一控制下企业合并取得的子公司，不调整合并资产负债表期初数，将该子公司或业务自购买日至报告期末的收入、费用、利润纳入合并利润表；该子公司或业务自购买日至报告期末的现金流量纳入合并现金流量表。</w:t>
      </w:r>
    </w:p>
    <w:p>
      <w:pPr>
        <w:spacing w:line="360" w:lineRule="auto"/>
        <w:ind w:firstLine="420" w:firstLineChars="200"/>
        <w:rPr>
          <w:rFonts w:ascii="宋体" w:hAnsi="宋体"/>
          <w:b/>
          <w:color w:val="auto"/>
          <w:szCs w:val="21"/>
        </w:rPr>
      </w:pPr>
      <w:r>
        <w:rPr>
          <w:rFonts w:hint="eastAsia" w:ascii="宋体" w:hAnsi="宋体"/>
          <w:b/>
          <w:color w:val="auto"/>
          <w:szCs w:val="21"/>
        </w:rPr>
        <w:t>5、分步处置子公司股权至丧失控制权的会计处理方法</w:t>
      </w:r>
    </w:p>
    <w:p>
      <w:pPr>
        <w:pStyle w:val="4"/>
        <w:snapToGrid w:val="0"/>
        <w:spacing w:line="360" w:lineRule="auto"/>
        <w:ind w:firstLine="420" w:firstLineChars="200"/>
        <w:rPr>
          <w:rFonts w:hAnsi="宋体"/>
          <w:color w:val="auto"/>
          <w:kern w:val="0"/>
        </w:rPr>
      </w:pPr>
      <w:r>
        <w:rPr>
          <w:rFonts w:hint="eastAsia" w:hAnsi="宋体"/>
          <w:color w:val="auto"/>
          <w:kern w:val="0"/>
        </w:rPr>
        <w:t>（1）一般处理方法</w:t>
      </w:r>
    </w:p>
    <w:p>
      <w:pPr>
        <w:pStyle w:val="4"/>
        <w:snapToGrid w:val="0"/>
        <w:spacing w:line="360" w:lineRule="auto"/>
        <w:ind w:firstLine="420" w:firstLineChars="200"/>
        <w:rPr>
          <w:rFonts w:hAnsi="宋体"/>
          <w:color w:val="auto"/>
          <w:kern w:val="0"/>
        </w:rPr>
      </w:pPr>
      <w:r>
        <w:rPr>
          <w:rFonts w:hint="eastAsia" w:hAnsi="宋体"/>
          <w:color w:val="auto"/>
          <w:kern w:val="0"/>
        </w:rPr>
        <w:t>在报告期内，本公司处置子公司或业务，则该子公司或业务期初至处置日的收入、费用、利润纳入本公司合并利润表；该子公司或业务期初至处置日的现金流量纳入本公司合并现金流量表。</w:t>
      </w:r>
    </w:p>
    <w:p>
      <w:pPr>
        <w:pStyle w:val="4"/>
        <w:snapToGrid w:val="0"/>
        <w:spacing w:line="360" w:lineRule="auto"/>
        <w:ind w:firstLine="420" w:firstLineChars="200"/>
        <w:rPr>
          <w:rFonts w:hAnsi="宋体"/>
          <w:color w:val="auto"/>
          <w:kern w:val="0"/>
        </w:rPr>
      </w:pPr>
      <w:r>
        <w:rPr>
          <w:rFonts w:hint="eastAsia" w:hAnsi="宋体"/>
          <w:color w:val="auto"/>
          <w:kern w:val="0"/>
        </w:rPr>
        <w:t>因处置部分股权投资或其他原因丧失了对被投资方控制权时，对于处置后的剩余股权投资，本公司按照其在丧失控制权日的公允价值进行重新计量。本公司将处置股权取得的对价与剩余股权公允价值之和，减去按原持股比例计算应享有原有子公司自购买日或合并日开始持续计算的净资产的份额与商誉之和的差额，计入丧失控制权当期的投资收益，同时冲减商誉。与原有子公司股权投资相关的其他综合收益等，本公司在丧失控制权时转为当期投资收益。</w:t>
      </w:r>
    </w:p>
    <w:p>
      <w:pPr>
        <w:pStyle w:val="4"/>
        <w:snapToGrid w:val="0"/>
        <w:spacing w:line="360" w:lineRule="auto"/>
        <w:ind w:firstLine="420" w:firstLineChars="200"/>
        <w:rPr>
          <w:rFonts w:hAnsi="宋体"/>
          <w:color w:val="auto"/>
          <w:kern w:val="0"/>
        </w:rPr>
      </w:pPr>
      <w:r>
        <w:rPr>
          <w:rFonts w:hint="eastAsia" w:hAnsi="宋体"/>
          <w:color w:val="auto"/>
          <w:kern w:val="0"/>
        </w:rPr>
        <w:t>（2）分步处置子公司</w:t>
      </w:r>
    </w:p>
    <w:p>
      <w:pPr>
        <w:pStyle w:val="4"/>
        <w:snapToGrid w:val="0"/>
        <w:spacing w:line="360" w:lineRule="auto"/>
        <w:ind w:firstLine="420" w:firstLineChars="200"/>
        <w:rPr>
          <w:rFonts w:hAnsi="宋体"/>
          <w:color w:val="auto"/>
          <w:kern w:val="0"/>
        </w:rPr>
      </w:pPr>
      <w:r>
        <w:rPr>
          <w:rFonts w:hint="eastAsia" w:hAnsi="宋体"/>
          <w:color w:val="auto"/>
          <w:kern w:val="0"/>
        </w:rPr>
        <w:t>本公司通过多次交易分步处置对子公司股权投资直至丧失控制权的，如处置对子公司股权投资的各项交易的条款、条件以及经济影响符合以下一种或多种情况，本公司将多次交易事项作为一揽子交易进行会计处理：</w:t>
      </w:r>
    </w:p>
    <w:p>
      <w:pPr>
        <w:pStyle w:val="4"/>
        <w:snapToGrid w:val="0"/>
        <w:spacing w:line="360" w:lineRule="auto"/>
        <w:ind w:firstLine="420" w:firstLineChars="200"/>
        <w:rPr>
          <w:rFonts w:hAnsi="宋体"/>
          <w:color w:val="auto"/>
          <w:kern w:val="0"/>
        </w:rPr>
      </w:pPr>
      <w:r>
        <w:rPr>
          <w:rFonts w:hint="eastAsia" w:hAnsi="宋体"/>
          <w:color w:val="auto"/>
          <w:kern w:val="0"/>
        </w:rPr>
        <w:t>ⅰ．这些交易是同时或者在考虑了彼此影响的情况下订立的；</w:t>
      </w:r>
    </w:p>
    <w:p>
      <w:pPr>
        <w:pStyle w:val="4"/>
        <w:snapToGrid w:val="0"/>
        <w:spacing w:line="360" w:lineRule="auto"/>
        <w:ind w:firstLine="420" w:firstLineChars="200"/>
        <w:rPr>
          <w:rFonts w:hAnsi="宋体"/>
          <w:color w:val="auto"/>
          <w:kern w:val="0"/>
        </w:rPr>
      </w:pPr>
      <w:r>
        <w:rPr>
          <w:rFonts w:hint="eastAsia" w:hAnsi="宋体"/>
          <w:color w:val="auto"/>
          <w:kern w:val="0"/>
        </w:rPr>
        <w:t>ⅱ．这些交易整体才能达成一项完整的商业结果；</w:t>
      </w:r>
    </w:p>
    <w:p>
      <w:pPr>
        <w:pStyle w:val="4"/>
        <w:snapToGrid w:val="0"/>
        <w:spacing w:line="360" w:lineRule="auto"/>
        <w:ind w:firstLine="420" w:firstLineChars="200"/>
        <w:rPr>
          <w:rFonts w:hAnsi="宋体"/>
          <w:color w:val="auto"/>
          <w:kern w:val="0"/>
        </w:rPr>
      </w:pPr>
      <w:r>
        <w:rPr>
          <w:rFonts w:hint="eastAsia" w:hAnsi="宋体"/>
          <w:color w:val="auto"/>
          <w:kern w:val="0"/>
        </w:rPr>
        <w:t>ⅲ．一项交易的发生取决于其他至少一项交易的发生；</w:t>
      </w:r>
    </w:p>
    <w:p>
      <w:pPr>
        <w:pStyle w:val="4"/>
        <w:snapToGrid w:val="0"/>
        <w:spacing w:line="360" w:lineRule="auto"/>
        <w:ind w:firstLine="420" w:firstLineChars="200"/>
        <w:rPr>
          <w:rFonts w:hAnsi="宋体"/>
          <w:color w:val="auto"/>
          <w:kern w:val="0"/>
        </w:rPr>
      </w:pPr>
      <w:r>
        <w:rPr>
          <w:rFonts w:hint="eastAsia" w:hAnsi="宋体"/>
          <w:color w:val="auto"/>
          <w:kern w:val="0"/>
        </w:rPr>
        <w:t>ⅳ．一项交易单独看是不经济的，但是和其他交易一并考虑时是经济的。</w:t>
      </w:r>
    </w:p>
    <w:p>
      <w:pPr>
        <w:pStyle w:val="4"/>
        <w:snapToGrid w:val="0"/>
        <w:spacing w:line="360" w:lineRule="auto"/>
        <w:ind w:firstLine="420" w:firstLineChars="200"/>
        <w:rPr>
          <w:rFonts w:hAnsi="宋体"/>
          <w:color w:val="auto"/>
          <w:kern w:val="0"/>
        </w:rPr>
      </w:pPr>
      <w:r>
        <w:rPr>
          <w:rFonts w:hint="eastAsia" w:hAnsi="宋体"/>
          <w:color w:val="auto"/>
          <w:kern w:val="0"/>
        </w:rPr>
        <w:t>处置对子公司股权投资直至丧失控制权的各项交易属于一揽子交易的，本公司将各项交易作为一项处置子公司并丧失控制权的交易进行会计处理；但是，在丧失控制权之前每一次处置价款与处置投资对应的享有该子公司净资产份额的差额，本公司在合并财务报表中确认为其他综合收益，在丧失控制权时一并转入丧失控制权当期的损益。</w:t>
      </w:r>
    </w:p>
    <w:p>
      <w:pPr>
        <w:pStyle w:val="4"/>
        <w:snapToGrid w:val="0"/>
        <w:spacing w:line="360" w:lineRule="auto"/>
        <w:ind w:firstLine="420" w:firstLineChars="200"/>
        <w:rPr>
          <w:rFonts w:hAnsi="宋体"/>
          <w:color w:val="auto"/>
          <w:kern w:val="0"/>
        </w:rPr>
      </w:pPr>
      <w:r>
        <w:rPr>
          <w:rFonts w:hint="eastAsia" w:hAnsi="宋体"/>
          <w:color w:val="auto"/>
          <w:kern w:val="0"/>
        </w:rPr>
        <w:t>处置对子公司股权投资直至丧失控制权的各项交易不属于一揽子交易的，在丧失控制权之前，本公司按不丧失控制权的情况下部分处置对子公司的股权投资的相关政策进行会计处理；在丧失控制权时，按处置子公司一般处理方法进行会计处理。</w:t>
      </w:r>
    </w:p>
    <w:p>
      <w:pPr>
        <w:spacing w:line="360" w:lineRule="auto"/>
        <w:ind w:firstLine="420" w:firstLineChars="200"/>
        <w:rPr>
          <w:rFonts w:ascii="宋体" w:hAnsi="宋体"/>
          <w:b/>
          <w:color w:val="auto"/>
          <w:szCs w:val="21"/>
        </w:rPr>
      </w:pPr>
      <w:r>
        <w:rPr>
          <w:rFonts w:hint="eastAsia" w:ascii="宋体" w:hAnsi="宋体"/>
          <w:b/>
          <w:color w:val="auto"/>
          <w:szCs w:val="21"/>
        </w:rPr>
        <w:t>6、购买子公司少数股权</w:t>
      </w:r>
    </w:p>
    <w:p>
      <w:pPr>
        <w:pStyle w:val="4"/>
        <w:snapToGrid w:val="0"/>
        <w:spacing w:line="360" w:lineRule="auto"/>
        <w:ind w:firstLine="420" w:firstLineChars="200"/>
        <w:rPr>
          <w:rFonts w:hAnsi="宋体"/>
          <w:color w:val="auto"/>
          <w:kern w:val="0"/>
        </w:rPr>
      </w:pPr>
      <w:r>
        <w:rPr>
          <w:rFonts w:hint="eastAsia" w:hAnsi="宋体"/>
          <w:color w:val="auto"/>
          <w:kern w:val="0"/>
        </w:rPr>
        <w:t>本公司因购买少数股权新取得的长期股权投资成本与按照新增持股比例计算应享有子公司自购买日（或合并日）开始持续计算的净资产份额之间的差额，调整合并资产负债表中的资本公积中的股本溢价，资本公积中的股本溢价不足冲减的，调整留存收益。</w:t>
      </w:r>
    </w:p>
    <w:p>
      <w:pPr>
        <w:spacing w:line="360" w:lineRule="auto"/>
        <w:ind w:firstLine="420" w:firstLineChars="200"/>
        <w:rPr>
          <w:rFonts w:ascii="宋体" w:hAnsi="宋体"/>
          <w:b/>
          <w:color w:val="auto"/>
          <w:szCs w:val="21"/>
        </w:rPr>
      </w:pPr>
      <w:r>
        <w:rPr>
          <w:rFonts w:hint="eastAsia" w:ascii="宋体" w:hAnsi="宋体"/>
          <w:b/>
          <w:color w:val="auto"/>
          <w:szCs w:val="21"/>
        </w:rPr>
        <w:t>7、不丧失控制权的情况下部分处置对子公司的股权投资</w:t>
      </w:r>
    </w:p>
    <w:p>
      <w:pPr>
        <w:pStyle w:val="4"/>
        <w:snapToGrid w:val="0"/>
        <w:spacing w:line="360" w:lineRule="auto"/>
        <w:ind w:firstLine="420" w:firstLineChars="200"/>
        <w:rPr>
          <w:rFonts w:hAnsi="宋体"/>
          <w:color w:val="auto"/>
          <w:kern w:val="0"/>
        </w:rPr>
      </w:pPr>
      <w:r>
        <w:rPr>
          <w:rFonts w:hint="eastAsia" w:hAnsi="宋体"/>
          <w:color w:val="auto"/>
          <w:kern w:val="0"/>
        </w:rPr>
        <w:t>本公司在不丧失控制权的情况下因部分处置对子公司的长期股权投资而取得的处置价款与处置长期股权投资相对应享有子公司自购买日或合并日开始持续计算的净资产份额之间的差额，调整合并资产负债表中的资本公积中的股本溢价，资本公积中的股本溢价不足冲减的，调整留存收益。</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（七）合营安排的分类及共同经营的会计处理方法</w:t>
      </w:r>
    </w:p>
    <w:p>
      <w:pPr>
        <w:pStyle w:val="4"/>
        <w:spacing w:line="360" w:lineRule="auto"/>
        <w:ind w:firstLine="420" w:firstLineChars="200"/>
        <w:textAlignment w:val="baseline"/>
        <w:rPr>
          <w:rFonts w:hAnsi="宋体" w:cs="Times New Roman"/>
          <w:color w:val="auto"/>
        </w:rPr>
      </w:pPr>
      <w:r>
        <w:rPr>
          <w:rFonts w:hint="eastAsia" w:hAnsi="宋体" w:cs="Times New Roman"/>
          <w:color w:val="auto"/>
        </w:rPr>
        <w:t>合营安排，是指一项由两个或两个以上的参与方共同控制的安排。本公司根据在合营安排中享有的权利和承担的义务，将合营安排分为共同经营和合营企业。</w:t>
      </w:r>
    </w:p>
    <w:p>
      <w:pPr>
        <w:pStyle w:val="4"/>
        <w:spacing w:line="360" w:lineRule="auto"/>
        <w:ind w:firstLine="420" w:firstLineChars="200"/>
        <w:textAlignment w:val="baseline"/>
        <w:rPr>
          <w:rFonts w:hAnsi="宋体" w:cs="Times New Roman"/>
          <w:b/>
          <w:bCs/>
          <w:color w:val="auto"/>
        </w:rPr>
      </w:pPr>
      <w:r>
        <w:rPr>
          <w:rFonts w:hint="eastAsia" w:hAnsi="宋体" w:cs="Times New Roman"/>
          <w:b/>
          <w:bCs/>
          <w:color w:val="auto"/>
        </w:rPr>
        <w:t>1、</w:t>
      </w:r>
      <w:r>
        <w:rPr>
          <w:rFonts w:hint="eastAsia" w:hAnsi="宋体" w:cs="Times New Roman"/>
          <w:b/>
          <w:bCs/>
          <w:color w:val="auto"/>
        </w:rPr>
        <w:tab/>
      </w:r>
      <w:r>
        <w:rPr>
          <w:rFonts w:hint="eastAsia" w:hAnsi="宋体" w:cs="Times New Roman"/>
          <w:b/>
          <w:bCs/>
          <w:color w:val="auto"/>
        </w:rPr>
        <w:t>共同经营</w:t>
      </w:r>
    </w:p>
    <w:p>
      <w:pPr>
        <w:pStyle w:val="4"/>
        <w:spacing w:line="360" w:lineRule="auto"/>
        <w:ind w:firstLine="420" w:firstLineChars="200"/>
        <w:textAlignment w:val="baseline"/>
        <w:rPr>
          <w:rFonts w:hAnsi="宋体" w:cs="Times New Roman"/>
          <w:color w:val="auto"/>
        </w:rPr>
      </w:pPr>
      <w:r>
        <w:rPr>
          <w:rFonts w:hint="eastAsia" w:hAnsi="宋体" w:cs="Times New Roman"/>
          <w:color w:val="auto"/>
        </w:rPr>
        <w:t>当本公司是合营安排的合营方，享有该安排相关资产且承担该安排相关负债时，为共同经营。</w:t>
      </w:r>
    </w:p>
    <w:p>
      <w:pPr>
        <w:pStyle w:val="4"/>
        <w:spacing w:line="360" w:lineRule="auto"/>
        <w:ind w:firstLine="420" w:firstLineChars="200"/>
        <w:textAlignment w:val="baseline"/>
        <w:rPr>
          <w:rFonts w:hAnsi="宋体" w:cs="Times New Roman"/>
          <w:color w:val="auto"/>
        </w:rPr>
      </w:pPr>
      <w:r>
        <w:rPr>
          <w:rFonts w:hint="eastAsia" w:hAnsi="宋体" w:cs="Times New Roman"/>
          <w:color w:val="auto"/>
        </w:rPr>
        <w:t>本公司确认与共同经营中利益份额相关的下列项目，并按照相关企业会计准则的规定进行会计处理：</w:t>
      </w:r>
      <w:r>
        <w:rPr>
          <w:rFonts w:hint="eastAsia"/>
          <w:color w:val="auto"/>
          <w:kern w:val="0"/>
        </w:rPr>
        <w:t>①确认本公司单独所持有的资产，以及按本公司份额确认共同持有的资产；②确认本公司单独所承担的负债，以及按本公司份额确认共同承担的负债；③确认出售本公司享有的共同经营产出份额所产生的收入；④按本公司份额确认共同经营因出售产出所产生的收入；⑤确认单独所发生的费用，以及按本公司份额确认共同经营发生的费用。</w:t>
      </w:r>
    </w:p>
    <w:p>
      <w:pPr>
        <w:pStyle w:val="15"/>
        <w:spacing w:line="360" w:lineRule="auto"/>
        <w:ind w:left="0" w:leftChars="0" w:firstLine="436"/>
        <w:rPr>
          <w:rFonts w:ascii="Times New Roman" w:hAnsi="Times New Roman"/>
          <w:color w:val="auto"/>
          <w:kern w:val="0"/>
        </w:rPr>
      </w:pPr>
      <w:r>
        <w:rPr>
          <w:rFonts w:ascii="Times New Roman" w:hAnsi="Times New Roman"/>
          <w:color w:val="auto"/>
          <w:kern w:val="0"/>
        </w:rPr>
        <w:t xml:space="preserve">当本公司作为合营方向共同经营投出或出售资产（该资产不构成业务，下同）、或者自共同经营购买资产时，在该等资产出售给第三方之前，本公司仅确认因该交易产生的损益中归属于共同经营其他参与方的部分。该等资产发生符合《企业会计准则第 8 号——资产减值》等规定的资产减值损失的，对于由本公司向共同经营投出或出售资产的情况，本公司全额确认该损失；对于本公司自共同经营购买资产的情况，本公司按承担的份额确认该损失。 </w:t>
      </w:r>
    </w:p>
    <w:p>
      <w:pPr>
        <w:pStyle w:val="15"/>
        <w:adjustRightInd/>
        <w:snapToGrid/>
        <w:spacing w:line="360" w:lineRule="auto"/>
        <w:ind w:left="0" w:leftChars="0" w:firstLine="438"/>
        <w:rPr>
          <w:b/>
          <w:bCs/>
          <w:color w:val="auto"/>
        </w:rPr>
      </w:pPr>
      <w:r>
        <w:rPr>
          <w:rFonts w:hint="eastAsia"/>
          <w:b/>
          <w:bCs/>
          <w:color w:val="auto"/>
        </w:rPr>
        <w:t>2、合营企业</w:t>
      </w:r>
    </w:p>
    <w:p>
      <w:pPr>
        <w:pStyle w:val="15"/>
        <w:adjustRightInd/>
        <w:snapToGrid/>
        <w:spacing w:line="360" w:lineRule="auto"/>
        <w:ind w:left="0" w:leftChars="0" w:firstLine="436"/>
        <w:rPr>
          <w:color w:val="auto"/>
          <w:kern w:val="0"/>
        </w:rPr>
      </w:pPr>
      <w:r>
        <w:rPr>
          <w:rFonts w:hint="eastAsia"/>
          <w:color w:val="auto"/>
        </w:rPr>
        <w:t>合营企业，是指本公司仅对该安排的净资产享有权利的合营安排。本公司对合营企业的投资采用权益法核算，相关会计政策见本附注“三、（十九）长期股权投资”。</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（八）现金及现金等价物的确定标准</w:t>
      </w:r>
    </w:p>
    <w:p>
      <w:pPr>
        <w:pStyle w:val="4"/>
        <w:spacing w:line="360" w:lineRule="auto"/>
        <w:ind w:firstLine="420" w:firstLineChars="200"/>
        <w:rPr>
          <w:rFonts w:hAnsi="宋体"/>
          <w:color w:val="auto"/>
          <w:kern w:val="0"/>
        </w:rPr>
      </w:pPr>
      <w:r>
        <w:rPr>
          <w:rFonts w:hint="eastAsia" w:hAnsi="宋体"/>
          <w:color w:val="auto"/>
          <w:kern w:val="0"/>
        </w:rPr>
        <w:t>本公司在编制现金流量表时所确定的现金，是指本公司库存现金以及可以随时用于支付的存款。</w:t>
      </w:r>
    </w:p>
    <w:p>
      <w:pPr>
        <w:pStyle w:val="4"/>
        <w:spacing w:line="360" w:lineRule="auto"/>
        <w:ind w:firstLine="420" w:firstLineChars="200"/>
        <w:rPr>
          <w:rFonts w:hAnsi="宋体"/>
          <w:color w:val="auto"/>
          <w:kern w:val="0"/>
        </w:rPr>
      </w:pPr>
      <w:r>
        <w:rPr>
          <w:rFonts w:hint="eastAsia" w:hAnsi="宋体"/>
          <w:color w:val="auto"/>
          <w:kern w:val="0"/>
        </w:rPr>
        <w:t>本公司在编制现金流量表时所确定的现金等价物，是指本公司持有的期限短、流动性强、易于转换为已知金额现金、价值变动风险很小的投资。</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（九）外币业务和外币报表折算</w:t>
      </w:r>
    </w:p>
    <w:p>
      <w:pPr>
        <w:spacing w:line="360" w:lineRule="auto"/>
        <w:ind w:firstLine="420" w:firstLineChars="200"/>
        <w:rPr>
          <w:rFonts w:ascii="宋体" w:hAnsi="宋体"/>
          <w:b/>
          <w:color w:val="auto"/>
          <w:szCs w:val="21"/>
        </w:rPr>
      </w:pPr>
      <w:r>
        <w:rPr>
          <w:rFonts w:hint="eastAsia" w:ascii="宋体" w:hAnsi="宋体"/>
          <w:b/>
          <w:color w:val="auto"/>
          <w:kern w:val="0"/>
        </w:rPr>
        <w:t>1、外币业务折算</w:t>
      </w:r>
    </w:p>
    <w:p>
      <w:pPr>
        <w:pStyle w:val="4"/>
        <w:snapToGrid w:val="0"/>
        <w:spacing w:line="360" w:lineRule="auto"/>
        <w:ind w:firstLine="420" w:firstLineChars="200"/>
        <w:rPr>
          <w:rFonts w:hAnsi="宋体"/>
          <w:color w:val="auto"/>
          <w:kern w:val="0"/>
        </w:rPr>
      </w:pPr>
      <w:r>
        <w:rPr>
          <w:rFonts w:hint="eastAsia" w:hAnsi="宋体"/>
          <w:color w:val="auto"/>
          <w:kern w:val="0"/>
        </w:rPr>
        <w:t>本公司对发生的外币交易，采用交易发生日的即期汇率折算人民币入账。</w:t>
      </w:r>
    </w:p>
    <w:p>
      <w:pPr>
        <w:pStyle w:val="4"/>
        <w:snapToGrid w:val="0"/>
        <w:spacing w:line="360" w:lineRule="auto"/>
        <w:ind w:firstLine="420" w:firstLineChars="200"/>
        <w:rPr>
          <w:rFonts w:hAnsi="宋体"/>
          <w:color w:val="auto"/>
          <w:kern w:val="0"/>
        </w:rPr>
      </w:pPr>
      <w:r>
        <w:rPr>
          <w:rFonts w:hint="eastAsia" w:hAnsi="宋体"/>
          <w:color w:val="auto"/>
          <w:kern w:val="0"/>
        </w:rPr>
        <w:t>资产负债表日，外币货币性项目按资产负债表日即期汇率折算，因该日的即期汇率与初始确认时或者前一资产负债表日即期汇率不同而产生的汇兑差额，除符合资本化条件的外币专门借款的汇兑差额在资本化期间予以资本化计入相关资产的成本外，均计入当期损益。</w:t>
      </w:r>
    </w:p>
    <w:p>
      <w:pPr>
        <w:pStyle w:val="4"/>
        <w:snapToGrid w:val="0"/>
        <w:spacing w:line="360" w:lineRule="auto"/>
        <w:ind w:firstLine="420" w:firstLineChars="200"/>
        <w:rPr>
          <w:rFonts w:hAnsi="宋体"/>
          <w:color w:val="auto"/>
          <w:kern w:val="0"/>
        </w:rPr>
      </w:pPr>
      <w:r>
        <w:rPr>
          <w:rFonts w:hint="eastAsia" w:hAnsi="宋体"/>
          <w:color w:val="auto"/>
          <w:kern w:val="0"/>
        </w:rPr>
        <w:t>以历史成本计量的外币非货币性项目，仍采用交易发生日的即期汇率折算，不改变其记账本位币金额。以公允价值计量的外币非货币性项目，采用公允价值确定日的即期汇率折算，折算后的记账本位币金额与原记账本位币金额的差额，作为公允价值变动</w:t>
      </w:r>
      <w:r>
        <w:rPr>
          <w:rFonts w:hAnsi="宋体"/>
          <w:color w:val="auto"/>
          <w:kern w:val="0"/>
        </w:rPr>
        <w:t>（</w:t>
      </w:r>
      <w:r>
        <w:rPr>
          <w:rFonts w:hint="eastAsia" w:hAnsi="宋体"/>
          <w:color w:val="auto"/>
          <w:kern w:val="0"/>
        </w:rPr>
        <w:t>含汇率变动</w:t>
      </w:r>
      <w:r>
        <w:rPr>
          <w:rFonts w:hAnsi="宋体"/>
          <w:color w:val="auto"/>
          <w:kern w:val="0"/>
        </w:rPr>
        <w:t>）</w:t>
      </w:r>
      <w:r>
        <w:rPr>
          <w:rFonts w:hint="eastAsia" w:hAnsi="宋体"/>
          <w:color w:val="auto"/>
          <w:kern w:val="0"/>
        </w:rPr>
        <w:t>处理，计入当期损益或确认为其他综合收益。</w:t>
      </w:r>
    </w:p>
    <w:p>
      <w:pPr>
        <w:pStyle w:val="4"/>
        <w:snapToGrid w:val="0"/>
        <w:spacing w:line="360" w:lineRule="auto"/>
        <w:ind w:firstLine="420" w:firstLineChars="200"/>
        <w:rPr>
          <w:rFonts w:hAnsi="宋体"/>
          <w:b/>
          <w:color w:val="auto"/>
          <w:kern w:val="0"/>
        </w:rPr>
      </w:pPr>
      <w:r>
        <w:rPr>
          <w:rFonts w:hint="eastAsia" w:hAnsi="宋体"/>
          <w:b/>
          <w:color w:val="auto"/>
          <w:kern w:val="0"/>
        </w:rPr>
        <w:t>2、外币财务报表折算</w:t>
      </w:r>
    </w:p>
    <w:p>
      <w:pPr>
        <w:pStyle w:val="4"/>
        <w:snapToGrid w:val="0"/>
        <w:spacing w:line="360" w:lineRule="auto"/>
        <w:ind w:firstLine="420" w:firstLineChars="200"/>
        <w:rPr>
          <w:rFonts w:hAnsi="宋体"/>
          <w:color w:val="auto"/>
          <w:kern w:val="0"/>
        </w:rPr>
      </w:pPr>
      <w:r>
        <w:rPr>
          <w:rFonts w:hint="eastAsia" w:hAnsi="宋体"/>
          <w:color w:val="auto"/>
          <w:kern w:val="0"/>
        </w:rPr>
        <w:t>本公司的控股子公司、合营企业、联营企业等，若采用与本公司不同的记账本位币，需对其外币财务报表折算后，再进行会计核算及合并财务报表的编报。</w:t>
      </w:r>
    </w:p>
    <w:p>
      <w:pPr>
        <w:pStyle w:val="4"/>
        <w:snapToGrid w:val="0"/>
        <w:spacing w:line="360" w:lineRule="auto"/>
        <w:ind w:firstLine="420" w:firstLineChars="200"/>
        <w:rPr>
          <w:rFonts w:hAnsi="宋体"/>
          <w:color w:val="auto"/>
          <w:kern w:val="0"/>
        </w:rPr>
      </w:pPr>
      <w:r>
        <w:rPr>
          <w:rFonts w:hint="eastAsia" w:hAnsi="宋体"/>
          <w:color w:val="auto"/>
          <w:kern w:val="0"/>
        </w:rPr>
        <w:t>外币资产负债表中的资产和负债项目，采用资产负债表日的即期汇率折算，所有者权益项目除“未分配利润”项目外，其他项目采用发生时的即期汇率折算。外币利润表中的收入和费用项目，采用交易发生日的即期汇率折算。折算产生的外币财务报表折算差额，在资产负债表中所有者权益项目其他综合收益下列示。</w:t>
      </w:r>
    </w:p>
    <w:p>
      <w:pPr>
        <w:pStyle w:val="4"/>
        <w:snapToGrid w:val="0"/>
        <w:spacing w:line="360" w:lineRule="auto"/>
        <w:ind w:firstLine="420" w:firstLineChars="200"/>
        <w:rPr>
          <w:rFonts w:hAnsi="宋体"/>
          <w:color w:val="auto"/>
          <w:kern w:val="0"/>
        </w:rPr>
      </w:pPr>
      <w:r>
        <w:rPr>
          <w:rFonts w:hint="eastAsia" w:hAnsi="宋体"/>
          <w:color w:val="auto"/>
          <w:kern w:val="0"/>
        </w:rPr>
        <w:t>本公司外币现金流量以及境外子公司的现金流量，采用现金流量发生日的即期汇率折算。汇率变动对现金的影响额作为调节项目，在现金流量表中单独列报。</w:t>
      </w:r>
    </w:p>
    <w:p>
      <w:pPr>
        <w:pStyle w:val="4"/>
        <w:snapToGrid w:val="0"/>
        <w:spacing w:line="360" w:lineRule="auto"/>
        <w:ind w:firstLine="420" w:firstLineChars="200"/>
        <w:rPr>
          <w:rFonts w:hAnsi="宋体"/>
          <w:color w:val="auto"/>
          <w:kern w:val="0"/>
        </w:rPr>
      </w:pPr>
      <w:r>
        <w:rPr>
          <w:rFonts w:hint="eastAsia" w:hAnsi="宋体"/>
          <w:color w:val="auto"/>
          <w:kern w:val="0"/>
        </w:rPr>
        <w:t>本公司在处置境外经营时，将资产负债表中所有者权益项目下列示的、与该境外经营相关的外币财务报表折算差额，自所有者权益项目转入处置当期损益；部分处置境外经营的，按处置的比例计算处置部分的外币财务报表折算差额，转入处置当期损益。</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（十）金融工具</w:t>
      </w:r>
    </w:p>
    <w:p>
      <w:pPr>
        <w:pStyle w:val="4"/>
        <w:snapToGrid w:val="0"/>
        <w:spacing w:line="360" w:lineRule="auto"/>
        <w:ind w:firstLine="420" w:firstLineChars="200"/>
        <w:rPr>
          <w:rFonts w:hAnsi="宋体"/>
          <w:color w:val="auto"/>
          <w:kern w:val="0"/>
        </w:rPr>
      </w:pPr>
      <w:r>
        <w:rPr>
          <w:rFonts w:hint="eastAsia" w:hAnsi="宋体"/>
          <w:color w:val="auto"/>
          <w:kern w:val="0"/>
        </w:rPr>
        <w:t>金融工具，是指形成一方的金融资产并形成其他方的金融负债或权益工具的合同。在本公司成为金融工具合同的一方时确认一项金融资产或金融负债、权益工具。</w:t>
      </w:r>
    </w:p>
    <w:p>
      <w:pPr>
        <w:pStyle w:val="4"/>
        <w:snapToGrid w:val="0"/>
        <w:spacing w:line="360" w:lineRule="auto"/>
        <w:ind w:firstLine="420" w:firstLineChars="200"/>
        <w:rPr>
          <w:rFonts w:hAnsi="宋体"/>
          <w:b/>
          <w:color w:val="auto"/>
          <w:kern w:val="0"/>
        </w:rPr>
      </w:pPr>
      <w:r>
        <w:rPr>
          <w:rFonts w:hint="eastAsia" w:hAnsi="宋体"/>
          <w:b/>
          <w:color w:val="auto"/>
          <w:kern w:val="0"/>
        </w:rPr>
        <w:t>1、金融资产的分类、确认和计量</w:t>
      </w:r>
    </w:p>
    <w:p>
      <w:pPr>
        <w:pStyle w:val="4"/>
        <w:snapToGrid w:val="0"/>
        <w:spacing w:line="360" w:lineRule="auto"/>
        <w:ind w:firstLine="420" w:firstLineChars="200"/>
        <w:rPr>
          <w:rFonts w:hAnsi="宋体"/>
          <w:color w:val="auto"/>
          <w:kern w:val="0"/>
        </w:rPr>
      </w:pPr>
      <w:r>
        <w:rPr>
          <w:rFonts w:hint="eastAsia" w:hAnsi="宋体"/>
          <w:color w:val="auto"/>
          <w:kern w:val="0"/>
        </w:rPr>
        <w:t>本公司根据管理金融资产的业务模式和金融资产的合同现金流量特征，将金融资产划分为：以摊余成本计量的金融资产；以公允价值计量且其变动计入其他综合收益的金融资产；以公允价值计量且其变动计入当期损益的金融资产。</w:t>
      </w:r>
    </w:p>
    <w:p>
      <w:pPr>
        <w:pStyle w:val="4"/>
        <w:snapToGrid w:val="0"/>
        <w:spacing w:line="360" w:lineRule="auto"/>
        <w:ind w:firstLine="420" w:firstLineChars="200"/>
        <w:rPr>
          <w:rFonts w:hAnsi="宋体"/>
          <w:color w:val="auto"/>
          <w:kern w:val="0"/>
        </w:rPr>
      </w:pPr>
      <w:r>
        <w:rPr>
          <w:rFonts w:hint="eastAsia" w:hAnsi="宋体"/>
          <w:color w:val="auto"/>
          <w:kern w:val="0"/>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公司按照预期有权收取的对价金额作为初始确认金额。</w:t>
      </w:r>
    </w:p>
    <w:p>
      <w:pPr>
        <w:pStyle w:val="4"/>
        <w:snapToGrid w:val="0"/>
        <w:spacing w:line="360" w:lineRule="auto"/>
        <w:ind w:firstLine="420" w:firstLineChars="200"/>
        <w:rPr>
          <w:rFonts w:hAnsi="宋体"/>
          <w:color w:val="auto"/>
          <w:kern w:val="0"/>
        </w:rPr>
      </w:pPr>
      <w:r>
        <w:rPr>
          <w:rFonts w:hint="eastAsia" w:hAnsi="宋体"/>
          <w:color w:val="auto"/>
          <w:kern w:val="0"/>
        </w:rPr>
        <w:t>（1）本公司持有的债务工具：</w:t>
      </w:r>
    </w:p>
    <w:p>
      <w:pPr>
        <w:pStyle w:val="4"/>
        <w:snapToGrid w:val="0"/>
        <w:spacing w:line="360" w:lineRule="auto"/>
        <w:ind w:firstLine="420" w:firstLineChars="200"/>
        <w:rPr>
          <w:rFonts w:hAnsi="宋体"/>
          <w:color w:val="auto"/>
          <w:kern w:val="0"/>
        </w:rPr>
      </w:pPr>
      <w:r>
        <w:rPr>
          <w:rFonts w:hint="eastAsia" w:hAnsi="宋体"/>
          <w:color w:val="auto"/>
          <w:kern w:val="0"/>
        </w:rPr>
        <w:t>①以摊余成本计量的金融资产</w:t>
      </w:r>
    </w:p>
    <w:p>
      <w:pPr>
        <w:pStyle w:val="4"/>
        <w:snapToGrid w:val="0"/>
        <w:spacing w:line="360" w:lineRule="auto"/>
        <w:ind w:firstLine="420" w:firstLineChars="200"/>
        <w:rPr>
          <w:rFonts w:hAnsi="宋体"/>
          <w:color w:val="auto"/>
          <w:kern w:val="0"/>
        </w:rPr>
      </w:pPr>
      <w:r>
        <w:rPr>
          <w:rFonts w:hint="eastAsia" w:hAnsi="宋体"/>
          <w:color w:val="auto"/>
          <w:kern w:val="0"/>
        </w:rPr>
        <w:t>本公司管理此类金融资产的业务模式为以收取合同现金流量为目标，且此类金融资产的合同现金流量特征与基本借贷安排相一致，即在特定日期产生的现金流量，仅为对本金和以未偿付本金金额为基础的利息的支付。本公司对于此类金融资产按照实际利率法确认利息收入，按照摊余成本进行后续计量，其摊销或减值产生的利得或损失，计入当期损益。本公司的此类金融资产主要包括货币资金、应收票据、应收账款、其他应收款、债权投资和长期应收款等，本公司将自资产负债表日起一年内（含一年）到期的债权投资和长期应收款，列示为一年内到期的非流动资产；取得时期限在一年内（含一年）的债权投资列示为其他流动资产。</w:t>
      </w:r>
    </w:p>
    <w:p>
      <w:pPr>
        <w:pStyle w:val="4"/>
        <w:snapToGrid w:val="0"/>
        <w:spacing w:line="360" w:lineRule="auto"/>
        <w:ind w:firstLine="420" w:firstLineChars="200"/>
        <w:rPr>
          <w:rFonts w:hAnsi="宋体"/>
          <w:color w:val="auto"/>
          <w:kern w:val="0"/>
        </w:rPr>
      </w:pPr>
      <w:r>
        <w:rPr>
          <w:rFonts w:hint="eastAsia" w:hAnsi="宋体"/>
          <w:color w:val="auto"/>
          <w:kern w:val="0"/>
        </w:rPr>
        <w:t>②以公允价值计量且其变动计入其他综合收益的金融资产</w:t>
      </w:r>
    </w:p>
    <w:p>
      <w:pPr>
        <w:pStyle w:val="4"/>
        <w:snapToGrid w:val="0"/>
        <w:spacing w:line="360" w:lineRule="auto"/>
        <w:ind w:firstLine="420" w:firstLineChars="200"/>
        <w:rPr>
          <w:rFonts w:hAnsi="宋体"/>
          <w:color w:val="auto"/>
          <w:kern w:val="0"/>
        </w:rPr>
      </w:pPr>
      <w:r>
        <w:rPr>
          <w:rFonts w:hint="eastAsia" w:hAnsi="宋体"/>
          <w:color w:val="auto"/>
          <w:kern w:val="0"/>
        </w:rPr>
        <w:t>本公司管理此类金融资产的业务模式为既以收取合同现金流量为目标又以出售为目标，且此类金融资产的合同现金流量特征与基本借贷安排相一致。此类金融资产按照公允价值计量且其变动计入其他综合收益，但减值损失或利得、汇兑损益和按照实际利率法计算的利息收入计入当期损益。</w:t>
      </w:r>
    </w:p>
    <w:p>
      <w:pPr>
        <w:pStyle w:val="4"/>
        <w:snapToGrid w:val="0"/>
        <w:spacing w:line="360" w:lineRule="auto"/>
        <w:ind w:firstLine="420" w:firstLineChars="200"/>
        <w:rPr>
          <w:rFonts w:hAnsi="宋体"/>
          <w:color w:val="auto"/>
          <w:kern w:val="0"/>
        </w:rPr>
      </w:pPr>
      <w:r>
        <w:rPr>
          <w:rFonts w:hint="eastAsia" w:hAnsi="宋体"/>
          <w:color w:val="auto"/>
          <w:kern w:val="0"/>
        </w:rPr>
        <w:t>此外，本公司将部分非交易性权益工具投资指定为以公允价值计量且其变动计入其他综合收益的金融资产。本公司将该类金融资产的相关股利收入计入当期损益，公允价值变动计入其他综合收益。当该金融资产终止确认时，之前计入其他综合收益的累计利得或损失将从其他综合收益转入留存收益，不计入当期损益。</w:t>
      </w:r>
    </w:p>
    <w:p>
      <w:pPr>
        <w:pStyle w:val="4"/>
        <w:snapToGrid w:val="0"/>
        <w:spacing w:line="360" w:lineRule="auto"/>
        <w:ind w:firstLine="420" w:firstLineChars="200"/>
        <w:rPr>
          <w:rFonts w:hAnsi="宋体"/>
          <w:color w:val="auto"/>
          <w:kern w:val="0"/>
        </w:rPr>
      </w:pPr>
      <w:r>
        <w:rPr>
          <w:rFonts w:hint="eastAsia" w:hAnsi="宋体"/>
          <w:color w:val="auto"/>
          <w:kern w:val="0"/>
        </w:rPr>
        <w:t>③以公允价值计量且其变动计入当期损益的金融资产</w:t>
      </w:r>
    </w:p>
    <w:p>
      <w:pPr>
        <w:pStyle w:val="4"/>
        <w:snapToGrid w:val="0"/>
        <w:spacing w:line="360" w:lineRule="auto"/>
        <w:ind w:firstLine="420" w:firstLineChars="200"/>
        <w:rPr>
          <w:rFonts w:hAnsi="宋体"/>
          <w:color w:val="auto"/>
          <w:kern w:val="0"/>
        </w:rPr>
      </w:pPr>
      <w:r>
        <w:rPr>
          <w:rFonts w:hint="eastAsia" w:hAnsi="宋体"/>
          <w:color w:val="auto"/>
          <w:kern w:val="0"/>
        </w:rPr>
        <w:t>本公司将上述以摊余成本计量的金融资产和以公允价值计量且其变动计入其他综合收益的金融资产之外的金融资产，分类为以公允价值计量且其变动计入当期损益的金融资产，列示为交易性金融资产。此外，在初始确认时，本公司为了消除或显著减少会计错配，将部分金融资产指定为以公允价值计量且其变动计入当期损益的金融资产。对于此类金融资产，本公司采用公允价值进行后续计量，公允价值变动计入当期损益。自资产负债表日起超过一年到期且预期持有超过一年的，列示为其他非流动金融资产。</w:t>
      </w:r>
    </w:p>
    <w:p>
      <w:pPr>
        <w:pStyle w:val="4"/>
        <w:snapToGrid w:val="0"/>
        <w:spacing w:line="360" w:lineRule="auto"/>
        <w:ind w:firstLine="420" w:firstLineChars="200"/>
        <w:rPr>
          <w:rFonts w:hAnsi="宋体"/>
          <w:color w:val="auto"/>
          <w:kern w:val="0"/>
        </w:rPr>
      </w:pPr>
      <w:r>
        <w:rPr>
          <w:rFonts w:hint="eastAsia" w:hAnsi="宋体"/>
          <w:color w:val="auto"/>
          <w:kern w:val="0"/>
        </w:rPr>
        <w:t>（2）本公司的权益工具投资：</w:t>
      </w:r>
    </w:p>
    <w:p>
      <w:pPr>
        <w:pStyle w:val="4"/>
        <w:snapToGrid w:val="0"/>
        <w:spacing w:line="360" w:lineRule="auto"/>
        <w:ind w:firstLine="420" w:firstLineChars="200"/>
        <w:rPr>
          <w:rFonts w:hAnsi="宋体"/>
          <w:color w:val="auto"/>
          <w:kern w:val="0"/>
        </w:rPr>
      </w:pPr>
      <w:r>
        <w:rPr>
          <w:rFonts w:hint="eastAsia" w:hAnsi="宋体"/>
          <w:color w:val="auto"/>
          <w:kern w:val="0"/>
        </w:rPr>
        <w:t>本公司将对其没有控制、共同控制和重大影响的权益工具分类为以公允价值计量且其变动计入当期损益的金融资产，列示为交易性金融资产；自资产负债表日起预期持有超过一年的，列示为其他非流动金融资产。</w:t>
      </w:r>
    </w:p>
    <w:p>
      <w:pPr>
        <w:pStyle w:val="4"/>
        <w:snapToGrid w:val="0"/>
        <w:spacing w:line="360" w:lineRule="auto"/>
        <w:ind w:firstLine="420" w:firstLineChars="200"/>
        <w:rPr>
          <w:rFonts w:hAnsi="宋体"/>
          <w:color w:val="auto"/>
          <w:kern w:val="0"/>
        </w:rPr>
      </w:pPr>
      <w:r>
        <w:rPr>
          <w:rFonts w:hint="eastAsia" w:hAnsi="宋体"/>
          <w:color w:val="auto"/>
          <w:kern w:val="0"/>
        </w:rPr>
        <w:t>此外，本公司将部分非交易性权益工具投资指定为以公允价值计量且其变动计入其他综合收益的金融资产，列示为其他权益工具投资，且该指定一经作出不得撤销。本公司将该类金融资产的相关股利收入计入当期损益，公允价值变动计入其他综合收益。当该金融资产终止确认时，之前计入其他综合收益的累计利得或损失将从其他综合收益转入留存收益，不计入当期损益。</w:t>
      </w:r>
    </w:p>
    <w:p>
      <w:pPr>
        <w:pStyle w:val="4"/>
        <w:snapToGrid w:val="0"/>
        <w:spacing w:line="360" w:lineRule="auto"/>
        <w:ind w:firstLine="420" w:firstLineChars="200"/>
        <w:rPr>
          <w:rFonts w:hAnsi="宋体"/>
          <w:b/>
          <w:color w:val="auto"/>
          <w:kern w:val="0"/>
        </w:rPr>
      </w:pPr>
      <w:r>
        <w:rPr>
          <w:rFonts w:hint="eastAsia" w:hAnsi="宋体"/>
          <w:b/>
          <w:color w:val="auto"/>
          <w:kern w:val="0"/>
        </w:rPr>
        <w:t>2、金融负债的分类、确认和计量</w:t>
      </w:r>
    </w:p>
    <w:p>
      <w:pPr>
        <w:pStyle w:val="4"/>
        <w:snapToGrid w:val="0"/>
        <w:spacing w:line="360" w:lineRule="auto"/>
        <w:ind w:firstLine="420" w:firstLineChars="200"/>
        <w:rPr>
          <w:rFonts w:hAnsi="宋体"/>
          <w:color w:val="auto"/>
          <w:kern w:val="0"/>
        </w:rPr>
      </w:pPr>
      <w:r>
        <w:rPr>
          <w:rFonts w:hint="eastAsia" w:hAnsi="宋体"/>
          <w:color w:val="auto"/>
          <w:kern w:val="0"/>
        </w:rPr>
        <w:t>本公司根据所发行金融工具的合同条款及其所反映的经济实质而非仅以法律形式，结合金融负债和权益工具的定义，在初始确认时将该金融工具或其组成部分分类为金融负债或权益工具。</w:t>
      </w:r>
    </w:p>
    <w:p>
      <w:pPr>
        <w:pStyle w:val="4"/>
        <w:snapToGrid w:val="0"/>
        <w:spacing w:line="360" w:lineRule="auto"/>
        <w:ind w:firstLine="420" w:firstLineChars="200"/>
        <w:rPr>
          <w:rFonts w:hAnsi="宋体"/>
          <w:color w:val="auto"/>
          <w:kern w:val="0"/>
        </w:rPr>
      </w:pPr>
      <w:r>
        <w:rPr>
          <w:rFonts w:hint="eastAsia" w:hAnsi="宋体"/>
          <w:color w:val="auto"/>
          <w:kern w:val="0"/>
        </w:rPr>
        <w:t>本公司将金融负债于初始确认时分类为以公允价值计量且其变动计入当期损益的金融负债和其他金融负债。</w:t>
      </w:r>
    </w:p>
    <w:p>
      <w:pPr>
        <w:pStyle w:val="4"/>
        <w:snapToGrid w:val="0"/>
        <w:spacing w:line="360" w:lineRule="auto"/>
        <w:ind w:firstLine="420" w:firstLineChars="200"/>
        <w:rPr>
          <w:rFonts w:hAnsi="宋体"/>
          <w:color w:val="auto"/>
          <w:kern w:val="0"/>
        </w:rPr>
      </w:pPr>
      <w:r>
        <w:rPr>
          <w:rFonts w:hint="eastAsia" w:hAnsi="宋体"/>
          <w:color w:val="auto"/>
          <w:kern w:val="0"/>
        </w:rPr>
        <w:t xml:space="preserve">以公允价值计量且其变动计入当期损益的金融负债，按照公允价值进行后续计量，公允价值变动形成的利得或损失以及与该金融负债相关的利息支出计入当期损益。本公司以公允价值计量且其变动计入当期损益的金融负债主要包括交易性金融负债。 </w:t>
      </w:r>
    </w:p>
    <w:p>
      <w:pPr>
        <w:pStyle w:val="4"/>
        <w:snapToGrid w:val="0"/>
        <w:spacing w:line="360" w:lineRule="auto"/>
        <w:ind w:firstLine="420" w:firstLineChars="200"/>
        <w:rPr>
          <w:rFonts w:hAnsi="宋体"/>
          <w:color w:val="auto"/>
          <w:kern w:val="0"/>
        </w:rPr>
      </w:pPr>
      <w:r>
        <w:rPr>
          <w:rFonts w:hint="eastAsia" w:hAnsi="宋体"/>
          <w:color w:val="auto"/>
          <w:kern w:val="0"/>
        </w:rPr>
        <w:t>其他金融负债，采用实际利率法按照摊余成本进行后续计量。本公司的其他金融负债主要为以摊余成本计量的金融负债，包括应付票据及应付账款、其他应付款、借款及应付债券等。该类金融负债按其公允价值扣除交易费用后的金额进行初始计量，并采用实际利率法进行后续计量。期限在一年以下(含一年)的，列示为流动负债；期限在一年以上但自资产负债表日起一年内(含一年)到期的，列示为一年内到期的非流动负债；其余列示为非流动负债。</w:t>
      </w:r>
    </w:p>
    <w:p>
      <w:pPr>
        <w:pStyle w:val="4"/>
        <w:snapToGrid w:val="0"/>
        <w:spacing w:line="360" w:lineRule="auto"/>
        <w:ind w:firstLine="420" w:firstLineChars="200"/>
        <w:rPr>
          <w:rFonts w:hAnsi="宋体"/>
          <w:b/>
          <w:color w:val="auto"/>
          <w:kern w:val="0"/>
        </w:rPr>
      </w:pPr>
      <w:r>
        <w:rPr>
          <w:rFonts w:hint="eastAsia" w:hAnsi="宋体"/>
          <w:b/>
          <w:color w:val="auto"/>
          <w:kern w:val="0"/>
        </w:rPr>
        <w:t>3、</w:t>
      </w:r>
      <w:r>
        <w:rPr>
          <w:rFonts w:hAnsi="宋体"/>
          <w:b/>
          <w:color w:val="auto"/>
          <w:kern w:val="0"/>
        </w:rPr>
        <w:t>金融负债与权益工具的区分及相关处理方法</w:t>
      </w:r>
    </w:p>
    <w:p>
      <w:pPr>
        <w:pStyle w:val="4"/>
        <w:snapToGrid w:val="0"/>
        <w:spacing w:line="360" w:lineRule="auto"/>
        <w:ind w:firstLine="420" w:firstLineChars="200"/>
        <w:rPr>
          <w:rFonts w:hAnsi="宋体"/>
          <w:color w:val="auto"/>
          <w:kern w:val="0"/>
        </w:rPr>
      </w:pPr>
      <w:r>
        <w:rPr>
          <w:rFonts w:hint="eastAsia" w:hAnsi="宋体"/>
          <w:color w:val="auto"/>
          <w:kern w:val="0"/>
        </w:rPr>
        <w:t>本公司按照以下原则区分金融负债与权益工具：（1）如果本公司不能无条件地避免以交付现金或其他金融资产来履行一项合同义务，则该合同义务符合金融负债的定义。有些金融工具虽然没有明确地包含交付现金或其他金融资产义务的条款和条件，但有可能通过其他条款和条件间接地形成合同义务。（2）如果一项金融工具须用或可用本公司自身权益工具进行结算，需要考虑用于结算该工具的本公司自身权益工具，是作为现金或其他金融资产的替代品，还是为了使该工具持有方享有在本公司扣除所有负债后的资产中的剩余权益。如果是前者，该工具是本公司的金融负债；如果是后者，该工具是本公司的权益工具。在某些情况下，一项金融工具合同规定本公司须用或可用自身权益工具结算该金融工具，其中合同权利或合同义务的金额等于可获取或需交付的自身权益工具的数量乘以其结算时的公允价值，则无论该合同权利或义务的金额是固定的，还是完全或部分地基于除本公司自身权益工具的市场价格以外的变量（例如利率、某种商品的价格或某项金融工具的价格）的变动而变动，该合同分类为金融负债。</w:t>
      </w:r>
    </w:p>
    <w:p>
      <w:pPr>
        <w:pStyle w:val="4"/>
        <w:snapToGrid w:val="0"/>
        <w:spacing w:line="360" w:lineRule="auto"/>
        <w:ind w:firstLine="420" w:firstLineChars="200"/>
        <w:rPr>
          <w:rFonts w:hAnsi="宋体"/>
          <w:color w:val="auto"/>
          <w:kern w:val="0"/>
        </w:rPr>
      </w:pPr>
      <w:r>
        <w:rPr>
          <w:rFonts w:hint="eastAsia" w:hAnsi="宋体"/>
          <w:color w:val="auto"/>
          <w:kern w:val="0"/>
        </w:rPr>
        <w:t>本公司在合并报表中对金融工具（或其组成部分）进行分类时，考虑了集团成员和金融工具持有方之间达成的所有条款和条件。如果集团作为一个整体由于该工具而承担了交付现金、其他金融资产或者以其他导致该工具成为金融负债的方式进行结算的义务，则该工具应当分类为金融负债。</w:t>
      </w:r>
    </w:p>
    <w:p>
      <w:pPr>
        <w:pStyle w:val="4"/>
        <w:snapToGrid w:val="0"/>
        <w:spacing w:line="360" w:lineRule="auto"/>
        <w:ind w:firstLine="420" w:firstLineChars="200"/>
        <w:rPr>
          <w:rFonts w:hAnsi="宋体"/>
          <w:color w:val="auto"/>
          <w:kern w:val="0"/>
        </w:rPr>
      </w:pPr>
      <w:r>
        <w:rPr>
          <w:rFonts w:hint="eastAsia" w:hAnsi="宋体"/>
          <w:color w:val="auto"/>
          <w:kern w:val="0"/>
        </w:rPr>
        <w:t>金融工具或其组成部分属于金融负债的，相关利息、股利（或股息）、利得或损失，以及赎回或再融资产生的利得或损失等，本公司计入当期损益。</w:t>
      </w:r>
    </w:p>
    <w:p>
      <w:pPr>
        <w:pStyle w:val="4"/>
        <w:snapToGrid w:val="0"/>
        <w:spacing w:line="360" w:lineRule="auto"/>
        <w:ind w:firstLine="420" w:firstLineChars="200"/>
        <w:rPr>
          <w:rFonts w:hAnsi="宋体"/>
          <w:color w:val="auto"/>
          <w:kern w:val="0"/>
        </w:rPr>
      </w:pPr>
      <w:r>
        <w:rPr>
          <w:rFonts w:hint="eastAsia" w:hAnsi="宋体"/>
          <w:color w:val="auto"/>
          <w:kern w:val="0"/>
        </w:rPr>
        <w:t>金融工具或其组成部分属于权益工具的，其发行（含再融资）、回购、出售或注销时，本公司作为权益的变动处理；本公司不确认权益工具的公允价值变动，与权益性交易相关的交易费用从权益中扣减；本公司对权益工具持有方的分配作为利润分配处理，发放的股票股利不影响股东权益总额。</w:t>
      </w:r>
    </w:p>
    <w:p>
      <w:pPr>
        <w:pStyle w:val="4"/>
        <w:snapToGrid w:val="0"/>
        <w:spacing w:line="360" w:lineRule="auto"/>
        <w:ind w:firstLine="420" w:firstLineChars="200"/>
        <w:rPr>
          <w:rFonts w:hAnsi="宋体"/>
          <w:b/>
          <w:color w:val="auto"/>
          <w:kern w:val="0"/>
        </w:rPr>
      </w:pPr>
      <w:r>
        <w:rPr>
          <w:rFonts w:hint="eastAsia" w:hAnsi="宋体"/>
          <w:b/>
          <w:color w:val="auto"/>
          <w:kern w:val="0"/>
        </w:rPr>
        <w:t>4、金融资产转移的确认依据和计量方法</w:t>
      </w:r>
    </w:p>
    <w:p>
      <w:pPr>
        <w:pStyle w:val="4"/>
        <w:snapToGrid w:val="0"/>
        <w:spacing w:line="360" w:lineRule="auto"/>
        <w:ind w:firstLine="420" w:firstLineChars="200"/>
        <w:rPr>
          <w:rFonts w:hAnsi="宋体"/>
          <w:color w:val="auto"/>
          <w:kern w:val="0"/>
        </w:rPr>
      </w:pPr>
      <w:r>
        <w:rPr>
          <w:rFonts w:hint="eastAsia" w:hAnsi="宋体"/>
          <w:color w:val="auto"/>
          <w:kern w:val="0"/>
        </w:rPr>
        <w:t>本公司将满足下列条件之一的金融资产，予以终止确认：①收取该金融资产现金流量的合同权利终止；②该金融资产已转移，且将金融资产所有权上几乎所有的风险和报酬转移给转入方；③该金融资产已转移，虽然本公司既没有转移也没有保留金融资产所有权上几乎所有的风险和报酬，但是放弃了对该金融资产的控制。若本公司既没有转移也没有保留金融资产所有权上几乎所有的风险和报酬，且未放弃对该金融资产的控制的，按照继续涉入所转移金融资产的程度确认有关金融资产，并相应确认有关负债。继续涉入所转移金融资产的程度，是指该金融资产价值变动使企业面临的风险水平。</w:t>
      </w:r>
    </w:p>
    <w:p>
      <w:pPr>
        <w:pStyle w:val="4"/>
        <w:snapToGrid w:val="0"/>
        <w:spacing w:line="360" w:lineRule="auto"/>
        <w:ind w:firstLine="420" w:firstLineChars="200"/>
        <w:rPr>
          <w:rFonts w:hAnsi="宋体"/>
          <w:color w:val="auto"/>
          <w:kern w:val="0"/>
        </w:rPr>
      </w:pPr>
      <w:r>
        <w:rPr>
          <w:rFonts w:hint="eastAsia" w:hAnsi="宋体"/>
          <w:color w:val="auto"/>
          <w:kern w:val="0"/>
        </w:rPr>
        <w:t>其他权益工具投资终止确认时，本公司将其账面价值与收到的对价以及原直接计入其他综合收益的公允价值变动累计额之和的差额，计入留存收益；其余金融资产终止确认时，其账面价值与收到的对价以及原直接计入其他综合收益的公允价值变动累计额之和的差额，计入当期损益。</w:t>
      </w:r>
    </w:p>
    <w:p>
      <w:pPr>
        <w:pStyle w:val="4"/>
        <w:snapToGrid w:val="0"/>
        <w:spacing w:line="360" w:lineRule="auto"/>
        <w:ind w:firstLine="420" w:firstLineChars="200"/>
        <w:rPr>
          <w:rFonts w:hAnsi="宋体"/>
          <w:color w:val="auto"/>
          <w:kern w:val="0"/>
        </w:rPr>
      </w:pPr>
      <w:r>
        <w:rPr>
          <w:rFonts w:hint="eastAsia" w:hAnsi="宋体"/>
          <w:color w:val="auto"/>
          <w:kern w:val="0"/>
        </w:rPr>
        <w:t>本公司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pPr>
        <w:pStyle w:val="4"/>
        <w:snapToGrid w:val="0"/>
        <w:spacing w:line="360" w:lineRule="auto"/>
        <w:ind w:firstLine="420" w:firstLineChars="200"/>
        <w:rPr>
          <w:rFonts w:hAnsi="宋体"/>
          <w:b/>
          <w:color w:val="auto"/>
          <w:kern w:val="0"/>
        </w:rPr>
      </w:pPr>
      <w:r>
        <w:rPr>
          <w:rFonts w:hint="eastAsia" w:hAnsi="宋体"/>
          <w:b/>
          <w:color w:val="auto"/>
          <w:kern w:val="0"/>
        </w:rPr>
        <w:t>5、金融负债的终止确认</w:t>
      </w:r>
    </w:p>
    <w:p>
      <w:pPr>
        <w:pStyle w:val="4"/>
        <w:snapToGrid w:val="0"/>
        <w:spacing w:line="360" w:lineRule="auto"/>
        <w:ind w:firstLine="420" w:firstLineChars="200"/>
        <w:rPr>
          <w:rFonts w:hAnsi="宋体"/>
          <w:color w:val="auto"/>
          <w:kern w:val="0"/>
        </w:rPr>
      </w:pPr>
      <w:r>
        <w:rPr>
          <w:rFonts w:hint="eastAsia" w:hAnsi="宋体"/>
          <w:color w:val="auto"/>
          <w:kern w:val="0"/>
        </w:rPr>
        <w:t>金融负债（或其一部分）的现时义务已经解除的，本公司终止确认该金融负债（或该部分金融负债）。本公司（借入方）与借出方签订协议，以承担新金融负债的方式替换原金融负债，且新金融负债与原金融负债的合同条款实质上不同的，终止确认原金融负债，同时确认一项新金融负债。本公司对原金融负债（或其一部分）的合同条款作出实质性修改的，终止确认原金融负债，同时按照修改后的条款确认一项新金融负债。</w:t>
      </w:r>
    </w:p>
    <w:p>
      <w:pPr>
        <w:pStyle w:val="4"/>
        <w:snapToGrid w:val="0"/>
        <w:spacing w:line="360" w:lineRule="auto"/>
        <w:ind w:firstLine="420" w:firstLineChars="200"/>
        <w:rPr>
          <w:rFonts w:hAnsi="宋体"/>
          <w:color w:val="auto"/>
          <w:kern w:val="0"/>
        </w:rPr>
      </w:pPr>
      <w:r>
        <w:rPr>
          <w:rFonts w:hint="eastAsia" w:hAnsi="宋体"/>
          <w:color w:val="auto"/>
          <w:kern w:val="0"/>
        </w:rPr>
        <w:t>金融负债（或其一部分）终止确认的，本公司将其账面价值与支付的对价（包括转出的非现金资产或承担的负债）之间的差额，计入当期损益。</w:t>
      </w:r>
    </w:p>
    <w:p>
      <w:pPr>
        <w:pStyle w:val="4"/>
        <w:snapToGrid w:val="0"/>
        <w:spacing w:line="360" w:lineRule="auto"/>
        <w:ind w:firstLine="420" w:firstLineChars="200"/>
        <w:rPr>
          <w:rFonts w:hAnsi="宋体"/>
          <w:b/>
          <w:color w:val="auto"/>
          <w:kern w:val="0"/>
        </w:rPr>
      </w:pPr>
      <w:r>
        <w:rPr>
          <w:rFonts w:hint="eastAsia" w:hAnsi="宋体"/>
          <w:b/>
          <w:color w:val="auto"/>
          <w:kern w:val="0"/>
        </w:rPr>
        <w:t>6、金融资产和金融负债的抵销</w:t>
      </w:r>
    </w:p>
    <w:p>
      <w:pPr>
        <w:pStyle w:val="4"/>
        <w:snapToGrid w:val="0"/>
        <w:spacing w:line="360" w:lineRule="auto"/>
        <w:ind w:firstLine="420" w:firstLineChars="200"/>
        <w:rPr>
          <w:rFonts w:hAnsi="宋体"/>
          <w:color w:val="auto"/>
          <w:kern w:val="0"/>
        </w:rPr>
      </w:pPr>
      <w:r>
        <w:rPr>
          <w:rFonts w:hint="eastAsia" w:hAnsi="宋体"/>
          <w:color w:val="auto"/>
          <w:kern w:val="0"/>
        </w:rPr>
        <w:t>当本公司具有抵销已确认金额的金融资产和金融负债的法定权利，且该种法定权利是当前可执行的，同时本公司计划以净额结算或同时变现该金融资产和清偿该金融负债时，金融资产和金融负债以相互抵销后的净额在资产负债表内列示。除此以外，金融资产和金融负债在资产负债表内分别列示，不予相互抵销。</w:t>
      </w:r>
    </w:p>
    <w:p>
      <w:pPr>
        <w:pStyle w:val="4"/>
        <w:snapToGrid w:val="0"/>
        <w:spacing w:line="360" w:lineRule="auto"/>
        <w:ind w:firstLine="420" w:firstLineChars="200"/>
        <w:rPr>
          <w:rFonts w:hAnsi="宋体"/>
          <w:b/>
          <w:color w:val="auto"/>
          <w:kern w:val="0"/>
        </w:rPr>
      </w:pPr>
      <w:r>
        <w:rPr>
          <w:rFonts w:hint="eastAsia" w:hAnsi="宋体"/>
          <w:b/>
          <w:color w:val="auto"/>
          <w:kern w:val="0"/>
        </w:rPr>
        <w:t>7、金融资产和金融负债的公允价值确定方法</w:t>
      </w:r>
    </w:p>
    <w:p>
      <w:pPr>
        <w:pStyle w:val="4"/>
        <w:snapToGrid w:val="0"/>
        <w:spacing w:line="360" w:lineRule="auto"/>
        <w:ind w:firstLine="420" w:firstLineChars="200"/>
        <w:rPr>
          <w:rFonts w:hAnsi="宋体"/>
          <w:color w:val="auto"/>
          <w:kern w:val="0"/>
        </w:rPr>
      </w:pPr>
      <w:r>
        <w:rPr>
          <w:rFonts w:hint="eastAsia" w:hAnsi="宋体"/>
          <w:color w:val="auto"/>
          <w:kern w:val="0"/>
        </w:rPr>
        <w:t>公允价值，是指市场参与者在计量日发生的有序交易中，出售一项资产所能收到或者转移一项负债所需支付的价格。金融工具存在活跃市场的，本公司采用活跃市场中的报价确定其公允价值。活跃市场中的报价是指易于定期从交易所、经纪商、行业协会、定价服务机构等获得的价格，且代表了在公平交易中实际发生的市场交易的价格。金融工具不存在活跃市场的，本公司采用估值技术确定其公允价值。估值技术包括参考熟悉情况并自愿交易的各方最近进行的市场交易中使用的价格、参照实质上相同的其他金融工具当前的公允价值、现金流量折现法和期权定价模型等。在估值时，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输入值。</w:t>
      </w:r>
    </w:p>
    <w:p>
      <w:pPr>
        <w:pStyle w:val="4"/>
        <w:snapToGrid w:val="0"/>
        <w:spacing w:line="360" w:lineRule="auto"/>
        <w:ind w:firstLine="420" w:firstLineChars="200"/>
        <w:rPr>
          <w:rFonts w:hAnsi="宋体"/>
          <w:color w:val="auto"/>
          <w:kern w:val="0"/>
        </w:rPr>
      </w:pPr>
      <w:r>
        <w:rPr>
          <w:rFonts w:hint="eastAsia" w:hAnsi="宋体"/>
          <w:color w:val="auto"/>
          <w:kern w:val="0"/>
        </w:rPr>
        <w:t>综上，本公司将公允价值计量所使用的输入值划分为三个层次，并首先使用第一层次输入值，其次使用第二层次输入值，最后使用第三层次输入值。第一层次输入值是在计量日能够取得的相同资产或负债在活跃市场上未经调整的报价。第二层次输入值是除第一层次输入值外相关资产或负债直接或间接可观察的输入值。第三层次输入值是相关资产或负债的不可观察输入值。</w:t>
      </w:r>
    </w:p>
    <w:p>
      <w:pPr>
        <w:pStyle w:val="4"/>
        <w:snapToGrid w:val="0"/>
        <w:spacing w:line="360" w:lineRule="auto"/>
        <w:ind w:firstLine="420" w:firstLineChars="200"/>
        <w:rPr>
          <w:rFonts w:hAnsi="宋体"/>
          <w:b/>
          <w:color w:val="auto"/>
          <w:kern w:val="0"/>
        </w:rPr>
      </w:pPr>
      <w:r>
        <w:rPr>
          <w:rFonts w:hint="eastAsia" w:hAnsi="宋体"/>
          <w:b/>
          <w:color w:val="auto"/>
          <w:kern w:val="0"/>
        </w:rPr>
        <w:t xml:space="preserve">8、金融资产减值 </w:t>
      </w:r>
    </w:p>
    <w:p>
      <w:pPr>
        <w:pStyle w:val="4"/>
        <w:snapToGrid w:val="0"/>
        <w:spacing w:line="360" w:lineRule="auto"/>
        <w:ind w:firstLine="420" w:firstLineChars="200"/>
        <w:rPr>
          <w:rFonts w:hAnsi="宋体"/>
          <w:color w:val="auto"/>
          <w:kern w:val="0"/>
        </w:rPr>
      </w:pPr>
      <w:r>
        <w:rPr>
          <w:rFonts w:hint="eastAsia" w:hAnsi="宋体"/>
          <w:color w:val="auto"/>
          <w:kern w:val="0"/>
        </w:rPr>
        <w:t>本公司对于以摊余成本计量的金融资产、以公允价值计量且其变动计入其他综合收益的债务工具投资等，以预期信用损失为基础确认损失准备。</w:t>
      </w:r>
    </w:p>
    <w:p>
      <w:pPr>
        <w:pStyle w:val="4"/>
        <w:snapToGrid w:val="0"/>
        <w:spacing w:line="360" w:lineRule="auto"/>
        <w:ind w:firstLine="420" w:firstLineChars="200"/>
        <w:rPr>
          <w:rFonts w:hAnsi="宋体"/>
          <w:color w:val="auto"/>
          <w:kern w:val="0"/>
        </w:rPr>
      </w:pPr>
      <w:r>
        <w:rPr>
          <w:rFonts w:hint="eastAsia" w:hAnsi="宋体"/>
          <w:color w:val="auto"/>
          <w:kern w:val="0"/>
        </w:rPr>
        <w:t>①预期信用损失的计量</w:t>
      </w:r>
    </w:p>
    <w:p>
      <w:pPr>
        <w:pStyle w:val="4"/>
        <w:snapToGrid w:val="0"/>
        <w:spacing w:line="360" w:lineRule="auto"/>
        <w:ind w:firstLine="420" w:firstLineChars="200"/>
        <w:rPr>
          <w:rFonts w:hAnsi="宋体"/>
          <w:color w:val="auto"/>
          <w:kern w:val="0"/>
        </w:rPr>
      </w:pPr>
      <w:r>
        <w:rPr>
          <w:rFonts w:hint="eastAsia" w:hAnsi="宋体"/>
          <w:color w:val="auto"/>
          <w:kern w:val="0"/>
        </w:rPr>
        <w:t>本公司考虑有关过去事项、当前状况以及对未来经济状况的预测等合理且有依据的信息，确认预期信用损失。</w:t>
      </w:r>
    </w:p>
    <w:p>
      <w:pPr>
        <w:pStyle w:val="4"/>
        <w:snapToGrid w:val="0"/>
        <w:spacing w:line="360" w:lineRule="auto"/>
        <w:ind w:firstLine="420" w:firstLineChars="200"/>
        <w:rPr>
          <w:rFonts w:hAnsi="宋体"/>
          <w:color w:val="auto"/>
          <w:kern w:val="0"/>
        </w:rPr>
      </w:pPr>
      <w:r>
        <w:rPr>
          <w:rFonts w:hint="eastAsia" w:hAnsi="宋体"/>
          <w:color w:val="auto"/>
          <w:kern w:val="0"/>
        </w:rPr>
        <w:t>在每个资产负债表日，本公司对于处于不同阶段的金融工具的预期信用损失分别进行计量。金融工具自初始确认后信用风险未显著增加的，处于第一阶段，本公司按照未来12 个月内的预期信用损失计量损失准备；金融工具自初始确认后信用风险已显著增加但尚未发生信用减值的，处于第二阶段，本公司按照该工具整个存续期的预期信用损失计量损失准备；金融工具自初始确认后已经发生信用减值的，处于第三阶段，本公司按照该工具整个存续期的预期信用损失计量损失准备。</w:t>
      </w:r>
    </w:p>
    <w:p>
      <w:pPr>
        <w:pStyle w:val="4"/>
        <w:snapToGrid w:val="0"/>
        <w:spacing w:line="360" w:lineRule="auto"/>
        <w:ind w:firstLine="420" w:firstLineChars="200"/>
        <w:rPr>
          <w:rFonts w:hAnsi="宋体"/>
          <w:color w:val="auto"/>
          <w:kern w:val="0"/>
        </w:rPr>
      </w:pPr>
      <w:r>
        <w:rPr>
          <w:rFonts w:hint="eastAsia" w:hAnsi="宋体"/>
          <w:color w:val="auto"/>
          <w:kern w:val="0"/>
        </w:rPr>
        <w:t>对于在资产负债表日具有较低信用风险的金融工具，本公司假设其信用风险自初始确认后并未显著增加，按照未来12 个月内的预期信用损失计量损失准备。</w:t>
      </w:r>
    </w:p>
    <w:p>
      <w:pPr>
        <w:pStyle w:val="4"/>
        <w:snapToGrid w:val="0"/>
        <w:spacing w:line="360" w:lineRule="auto"/>
        <w:ind w:firstLine="420" w:firstLineChars="200"/>
        <w:rPr>
          <w:rFonts w:hAnsi="宋体"/>
          <w:color w:val="auto"/>
          <w:kern w:val="0"/>
        </w:rPr>
      </w:pPr>
      <w:r>
        <w:rPr>
          <w:rFonts w:hint="eastAsia" w:hAnsi="宋体"/>
          <w:color w:val="auto"/>
          <w:kern w:val="0"/>
        </w:rPr>
        <w:t>对于因销售商品、提供劳务等日常经营活动形成的应收票据和应收账款，无论是否存在重大融资成分，本公司均按照整个存续期的预期信用损失计量损失准备。</w:t>
      </w:r>
    </w:p>
    <w:p>
      <w:pPr>
        <w:pStyle w:val="4"/>
        <w:snapToGrid w:val="0"/>
        <w:spacing w:line="360" w:lineRule="auto"/>
        <w:ind w:firstLine="420" w:firstLineChars="200"/>
        <w:rPr>
          <w:rFonts w:hAnsi="宋体"/>
          <w:color w:val="auto"/>
          <w:kern w:val="0"/>
        </w:rPr>
      </w:pPr>
      <w:r>
        <w:rPr>
          <w:rFonts w:hint="eastAsia" w:hAnsi="宋体"/>
          <w:color w:val="auto"/>
          <w:kern w:val="0"/>
        </w:rPr>
        <w:t>A  应收款项：</w:t>
      </w:r>
    </w:p>
    <w:p>
      <w:pPr>
        <w:pStyle w:val="4"/>
        <w:snapToGrid w:val="0"/>
        <w:spacing w:line="360" w:lineRule="auto"/>
        <w:ind w:firstLine="420" w:firstLineChars="200"/>
        <w:rPr>
          <w:rFonts w:hAnsi="宋体"/>
          <w:color w:val="auto"/>
          <w:kern w:val="0"/>
        </w:rPr>
      </w:pPr>
      <w:r>
        <w:rPr>
          <w:rFonts w:hint="eastAsia" w:hAnsi="宋体"/>
          <w:color w:val="auto"/>
          <w:kern w:val="0"/>
        </w:rPr>
        <w:t>本公司对于存在客观证据表明存在减值，以及其他适用于单项评估的应收票据、应收账款，其他应收款、应收款项融资及长期应收款等单独进行减值测试，确认预期信用损失，计提单项减值准备。对于不存在减值客观证据的应收票据、应收账款、其他应收款及应收款项融资或当单项金融资产无法以合理成本评估预期信用损失的信息时，本公司依据信用风险特征将应收票据、应收账款、其他应收款、应收款项融资及长期应收款等划分为若干组合，在组合基础上计算预期信用损失，确定组合的依据如下：</w:t>
      </w:r>
    </w:p>
    <w:p>
      <w:pPr>
        <w:autoSpaceDE w:val="0"/>
        <w:autoSpaceDN w:val="0"/>
        <w:adjustRightInd w:val="0"/>
        <w:spacing w:line="360" w:lineRule="auto"/>
        <w:ind w:firstLine="420" w:firstLineChars="200"/>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a、应收票据确定组合的依据如下：</w:t>
      </w:r>
    </w:p>
    <w:tbl>
      <w:tblPr>
        <w:tblStyle w:val="9"/>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4" w:type="dxa"/>
            <w:vAlign w:val="bottom"/>
          </w:tcPr>
          <w:p>
            <w:pPr>
              <w:autoSpaceDE w:val="0"/>
              <w:autoSpaceDN w:val="0"/>
              <w:adjustRightInd w:val="0"/>
              <w:rPr>
                <w:rFonts w:ascii="宋体" w:hAnsi="宋体"/>
                <w:color w:val="auto"/>
                <w:kern w:val="0"/>
                <w:sz w:val="18"/>
                <w:szCs w:val="21"/>
              </w:rPr>
            </w:pPr>
            <w:r>
              <w:rPr>
                <w:rFonts w:hint="eastAsia" w:ascii="宋体" w:hAnsi="宋体"/>
                <w:color w:val="auto"/>
                <w:kern w:val="0"/>
                <w:sz w:val="18"/>
                <w:szCs w:val="21"/>
              </w:rPr>
              <w:t>应收票据组合1--</w:t>
            </w:r>
            <w:r>
              <w:rPr>
                <w:rFonts w:ascii="宋体" w:hAnsi="宋体"/>
                <w:color w:val="auto"/>
                <w:kern w:val="0"/>
                <w:sz w:val="18"/>
                <w:szCs w:val="21"/>
              </w:rPr>
              <w:t>银行承兑汇票</w:t>
            </w:r>
          </w:p>
        </w:tc>
        <w:tc>
          <w:tcPr>
            <w:tcW w:w="4644" w:type="dxa"/>
            <w:vAlign w:val="bottom"/>
          </w:tcPr>
          <w:p>
            <w:pPr>
              <w:autoSpaceDE w:val="0"/>
              <w:autoSpaceDN w:val="0"/>
              <w:adjustRightInd w:val="0"/>
              <w:ind w:firstLine="450" w:firstLineChars="250"/>
              <w:jc w:val="center"/>
              <w:rPr>
                <w:rFonts w:ascii="宋体" w:hAnsi="宋体"/>
                <w:color w:val="auto"/>
                <w:kern w:val="0"/>
                <w:sz w:val="18"/>
                <w:szCs w:val="21"/>
              </w:rPr>
            </w:pPr>
            <w:r>
              <w:rPr>
                <w:rFonts w:ascii="宋体" w:hAnsi="宋体"/>
                <w:color w:val="auto"/>
                <w:kern w:val="0"/>
                <w:sz w:val="18"/>
                <w:szCs w:val="21"/>
              </w:rPr>
              <w:t>信用风险较低的银行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4" w:type="dxa"/>
            <w:vAlign w:val="bottom"/>
          </w:tcPr>
          <w:p>
            <w:pPr>
              <w:autoSpaceDE w:val="0"/>
              <w:autoSpaceDN w:val="0"/>
              <w:adjustRightInd w:val="0"/>
              <w:rPr>
                <w:rFonts w:ascii="宋体" w:hAnsi="宋体"/>
                <w:color w:val="auto"/>
                <w:kern w:val="0"/>
                <w:sz w:val="18"/>
                <w:szCs w:val="21"/>
              </w:rPr>
            </w:pPr>
            <w:r>
              <w:rPr>
                <w:rFonts w:hint="eastAsia" w:ascii="宋体" w:hAnsi="宋体"/>
                <w:color w:val="auto"/>
                <w:kern w:val="0"/>
                <w:sz w:val="18"/>
                <w:szCs w:val="21"/>
              </w:rPr>
              <w:t>应收票据组合2--</w:t>
            </w:r>
            <w:r>
              <w:rPr>
                <w:rFonts w:ascii="宋体" w:hAnsi="宋体"/>
                <w:color w:val="auto"/>
                <w:kern w:val="0"/>
                <w:sz w:val="18"/>
                <w:szCs w:val="21"/>
              </w:rPr>
              <w:t>商业承兑汇票</w:t>
            </w:r>
          </w:p>
        </w:tc>
        <w:tc>
          <w:tcPr>
            <w:tcW w:w="4644" w:type="dxa"/>
            <w:vAlign w:val="bottom"/>
          </w:tcPr>
          <w:p>
            <w:pPr>
              <w:autoSpaceDE w:val="0"/>
              <w:autoSpaceDN w:val="0"/>
              <w:adjustRightInd w:val="0"/>
              <w:ind w:firstLine="450" w:firstLineChars="250"/>
              <w:jc w:val="center"/>
              <w:rPr>
                <w:rFonts w:ascii="宋体" w:hAnsi="宋体"/>
                <w:color w:val="auto"/>
                <w:kern w:val="0"/>
                <w:sz w:val="18"/>
                <w:szCs w:val="21"/>
              </w:rPr>
            </w:pPr>
            <w:r>
              <w:rPr>
                <w:rFonts w:ascii="宋体" w:hAnsi="宋体"/>
                <w:color w:val="auto"/>
                <w:kern w:val="0"/>
                <w:sz w:val="18"/>
                <w:szCs w:val="21"/>
              </w:rPr>
              <w:t>信用风险较高的企业</w:t>
            </w:r>
          </w:p>
        </w:tc>
      </w:tr>
    </w:tbl>
    <w:p>
      <w:pPr>
        <w:pStyle w:val="4"/>
        <w:snapToGrid w:val="0"/>
        <w:spacing w:before="150" w:beforeLines="50" w:line="360" w:lineRule="auto"/>
        <w:ind w:firstLine="420" w:firstLineChars="200"/>
        <w:rPr>
          <w:rFonts w:hAnsi="宋体"/>
          <w:color w:val="auto"/>
          <w:kern w:val="0"/>
        </w:rPr>
      </w:pPr>
      <w:r>
        <w:rPr>
          <w:rFonts w:hAnsi="宋体"/>
          <w:color w:val="auto"/>
          <w:kern w:val="0"/>
        </w:rPr>
        <w:t>对于划分为组合的应收票据，本公司参考历史信用损失经验，结合当前状况以及对未来经济状况的预测，通过违约风险敞口和整个存续期预期信用损失率，计算预期信用损失。</w:t>
      </w:r>
    </w:p>
    <w:p>
      <w:pPr>
        <w:autoSpaceDE w:val="0"/>
        <w:autoSpaceDN w:val="0"/>
        <w:adjustRightInd w:val="0"/>
        <w:spacing w:line="360" w:lineRule="auto"/>
        <w:ind w:firstLine="420" w:firstLineChars="200"/>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b、应收账款确定组合的依据如下：</w:t>
      </w:r>
    </w:p>
    <w:tbl>
      <w:tblPr>
        <w:tblStyle w:val="9"/>
        <w:tblW w:w="928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4" w:type="dxa"/>
            <w:vAlign w:val="bottom"/>
          </w:tcPr>
          <w:p>
            <w:pPr>
              <w:autoSpaceDE w:val="0"/>
              <w:autoSpaceDN w:val="0"/>
              <w:adjustRightInd w:val="0"/>
              <w:rPr>
                <w:rFonts w:ascii="宋体" w:hAnsi="宋体"/>
                <w:color w:val="auto"/>
                <w:kern w:val="0"/>
                <w:sz w:val="18"/>
                <w:szCs w:val="21"/>
              </w:rPr>
            </w:pPr>
            <w:r>
              <w:rPr>
                <w:rFonts w:ascii="宋体" w:hAnsi="宋体"/>
                <w:color w:val="auto"/>
                <w:kern w:val="0"/>
                <w:sz w:val="18"/>
                <w:szCs w:val="21"/>
              </w:rPr>
              <w:t>应收账款组合</w:t>
            </w:r>
            <w:r>
              <w:rPr>
                <w:rFonts w:hint="eastAsia" w:ascii="宋体" w:hAnsi="宋体"/>
                <w:color w:val="auto"/>
                <w:kern w:val="0"/>
                <w:sz w:val="18"/>
                <w:szCs w:val="21"/>
              </w:rPr>
              <w:t>1</w:t>
            </w:r>
          </w:p>
        </w:tc>
        <w:tc>
          <w:tcPr>
            <w:tcW w:w="4644" w:type="dxa"/>
            <w:vAlign w:val="bottom"/>
          </w:tcPr>
          <w:p>
            <w:pPr>
              <w:autoSpaceDE w:val="0"/>
              <w:autoSpaceDN w:val="0"/>
              <w:adjustRightInd w:val="0"/>
              <w:ind w:firstLine="450" w:firstLineChars="250"/>
              <w:jc w:val="center"/>
              <w:rPr>
                <w:rFonts w:ascii="宋体" w:hAnsi="宋体"/>
                <w:color w:val="auto"/>
                <w:kern w:val="0"/>
                <w:sz w:val="18"/>
                <w:szCs w:val="21"/>
              </w:rPr>
            </w:pPr>
            <w:r>
              <w:rPr>
                <w:rFonts w:ascii="宋体" w:hAnsi="宋体"/>
                <w:color w:val="auto"/>
                <w:kern w:val="0"/>
                <w:sz w:val="18"/>
                <w:szCs w:val="21"/>
              </w:rPr>
              <w:t>应收第三方款项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4" w:type="dxa"/>
            <w:vAlign w:val="bottom"/>
          </w:tcPr>
          <w:p>
            <w:pPr>
              <w:autoSpaceDE w:val="0"/>
              <w:autoSpaceDN w:val="0"/>
              <w:adjustRightInd w:val="0"/>
              <w:rPr>
                <w:rFonts w:ascii="宋体" w:hAnsi="宋体"/>
                <w:color w:val="auto"/>
                <w:kern w:val="0"/>
                <w:sz w:val="18"/>
                <w:szCs w:val="21"/>
              </w:rPr>
            </w:pPr>
            <w:r>
              <w:rPr>
                <w:rFonts w:ascii="宋体" w:hAnsi="宋体"/>
                <w:color w:val="auto"/>
                <w:kern w:val="0"/>
                <w:sz w:val="18"/>
                <w:szCs w:val="21"/>
              </w:rPr>
              <w:t>应收账款组合</w:t>
            </w:r>
            <w:r>
              <w:rPr>
                <w:rFonts w:hint="eastAsia" w:ascii="宋体" w:hAnsi="宋体"/>
                <w:color w:val="auto"/>
                <w:kern w:val="0"/>
                <w:sz w:val="18"/>
                <w:szCs w:val="21"/>
              </w:rPr>
              <w:t>2</w:t>
            </w:r>
          </w:p>
        </w:tc>
        <w:tc>
          <w:tcPr>
            <w:tcW w:w="4644" w:type="dxa"/>
            <w:vAlign w:val="bottom"/>
          </w:tcPr>
          <w:p>
            <w:pPr>
              <w:autoSpaceDE w:val="0"/>
              <w:autoSpaceDN w:val="0"/>
              <w:adjustRightInd w:val="0"/>
              <w:ind w:firstLine="450" w:firstLineChars="250"/>
              <w:jc w:val="center"/>
              <w:rPr>
                <w:rFonts w:ascii="宋体" w:hAnsi="宋体"/>
                <w:color w:val="auto"/>
                <w:kern w:val="0"/>
                <w:sz w:val="18"/>
                <w:szCs w:val="21"/>
              </w:rPr>
            </w:pPr>
            <w:r>
              <w:rPr>
                <w:rFonts w:ascii="宋体" w:hAnsi="宋体"/>
                <w:color w:val="auto"/>
                <w:kern w:val="0"/>
                <w:sz w:val="18"/>
                <w:szCs w:val="21"/>
              </w:rPr>
              <w:t>应收关联方款项</w:t>
            </w:r>
          </w:p>
        </w:tc>
      </w:tr>
    </w:tbl>
    <w:p>
      <w:pPr>
        <w:pStyle w:val="4"/>
        <w:snapToGrid w:val="0"/>
        <w:spacing w:before="150" w:beforeLines="50" w:line="360" w:lineRule="auto"/>
        <w:ind w:firstLine="420" w:firstLineChars="200"/>
        <w:rPr>
          <w:rFonts w:hAnsi="宋体"/>
          <w:color w:val="auto"/>
          <w:kern w:val="0"/>
        </w:rPr>
      </w:pPr>
      <w:r>
        <w:rPr>
          <w:rFonts w:hAnsi="宋体"/>
          <w:color w:val="auto"/>
          <w:kern w:val="0"/>
        </w:rPr>
        <w:t>对于划分为组合的应收账款，本公司参考历史信用损失经验，结合当前状况以及对未来经济状况的预测，编制应收账款逾期天数与整个存续期预期信用损失率对照表，计算预期信用损失。</w:t>
      </w:r>
    </w:p>
    <w:p>
      <w:pPr>
        <w:pStyle w:val="4"/>
        <w:snapToGrid w:val="0"/>
        <w:spacing w:line="360" w:lineRule="auto"/>
        <w:ind w:firstLine="420" w:firstLineChars="200"/>
        <w:rPr>
          <w:rFonts w:hAnsi="宋体"/>
          <w:color w:val="auto"/>
          <w:kern w:val="0"/>
        </w:rPr>
      </w:pPr>
      <w:r>
        <w:rPr>
          <w:rFonts w:hint="eastAsia" w:hAnsi="宋体"/>
          <w:color w:val="auto"/>
          <w:kern w:val="0"/>
        </w:rPr>
        <w:t>c、其他应收款确定组合的依据如下：</w:t>
      </w:r>
    </w:p>
    <w:tbl>
      <w:tblPr>
        <w:tblStyle w:val="9"/>
        <w:tblW w:w="928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4" w:type="dxa"/>
            <w:vAlign w:val="bottom"/>
          </w:tcPr>
          <w:p>
            <w:pPr>
              <w:autoSpaceDE w:val="0"/>
              <w:autoSpaceDN w:val="0"/>
              <w:adjustRightInd w:val="0"/>
              <w:rPr>
                <w:rFonts w:ascii="宋体" w:hAnsi="宋体"/>
                <w:color w:val="auto"/>
                <w:kern w:val="0"/>
                <w:sz w:val="18"/>
                <w:szCs w:val="21"/>
              </w:rPr>
            </w:pPr>
            <w:r>
              <w:rPr>
                <w:rFonts w:ascii="宋体" w:hAnsi="宋体"/>
                <w:color w:val="auto"/>
                <w:kern w:val="0"/>
                <w:sz w:val="18"/>
                <w:szCs w:val="21"/>
              </w:rPr>
              <w:t>其他应收款组合</w:t>
            </w:r>
            <w:r>
              <w:rPr>
                <w:rFonts w:hint="eastAsia" w:ascii="宋体" w:hAnsi="宋体"/>
                <w:color w:val="auto"/>
                <w:kern w:val="0"/>
                <w:sz w:val="18"/>
                <w:szCs w:val="21"/>
              </w:rPr>
              <w:t>1</w:t>
            </w:r>
          </w:p>
        </w:tc>
        <w:tc>
          <w:tcPr>
            <w:tcW w:w="4644" w:type="dxa"/>
            <w:vAlign w:val="bottom"/>
          </w:tcPr>
          <w:p>
            <w:pPr>
              <w:autoSpaceDE w:val="0"/>
              <w:autoSpaceDN w:val="0"/>
              <w:adjustRightInd w:val="0"/>
              <w:ind w:firstLine="450" w:firstLineChars="250"/>
              <w:jc w:val="center"/>
              <w:rPr>
                <w:rFonts w:ascii="宋体" w:hAnsi="宋体"/>
                <w:color w:val="auto"/>
                <w:kern w:val="0"/>
                <w:sz w:val="18"/>
                <w:szCs w:val="21"/>
              </w:rPr>
            </w:pPr>
            <w:r>
              <w:rPr>
                <w:rFonts w:ascii="宋体" w:hAnsi="宋体"/>
                <w:color w:val="auto"/>
                <w:kern w:val="0"/>
                <w:sz w:val="18"/>
                <w:szCs w:val="21"/>
              </w:rPr>
              <w:t>应收股利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4" w:type="dxa"/>
            <w:vAlign w:val="bottom"/>
          </w:tcPr>
          <w:p>
            <w:pPr>
              <w:autoSpaceDE w:val="0"/>
              <w:autoSpaceDN w:val="0"/>
              <w:adjustRightInd w:val="0"/>
              <w:rPr>
                <w:rFonts w:ascii="宋体" w:hAnsi="宋体"/>
                <w:color w:val="auto"/>
                <w:kern w:val="0"/>
                <w:sz w:val="18"/>
                <w:szCs w:val="21"/>
              </w:rPr>
            </w:pPr>
            <w:r>
              <w:rPr>
                <w:rFonts w:ascii="宋体" w:hAnsi="宋体"/>
                <w:color w:val="auto"/>
                <w:kern w:val="0"/>
                <w:sz w:val="18"/>
                <w:szCs w:val="21"/>
              </w:rPr>
              <w:t>其他应收款组合</w:t>
            </w:r>
            <w:r>
              <w:rPr>
                <w:rFonts w:hint="eastAsia" w:ascii="宋体" w:hAnsi="宋体"/>
                <w:color w:val="auto"/>
                <w:kern w:val="0"/>
                <w:sz w:val="18"/>
                <w:szCs w:val="21"/>
              </w:rPr>
              <w:t>2</w:t>
            </w:r>
          </w:p>
        </w:tc>
        <w:tc>
          <w:tcPr>
            <w:tcW w:w="4644" w:type="dxa"/>
            <w:vAlign w:val="bottom"/>
          </w:tcPr>
          <w:p>
            <w:pPr>
              <w:autoSpaceDE w:val="0"/>
              <w:autoSpaceDN w:val="0"/>
              <w:adjustRightInd w:val="0"/>
              <w:ind w:firstLine="450" w:firstLineChars="250"/>
              <w:jc w:val="center"/>
              <w:rPr>
                <w:rFonts w:ascii="宋体" w:hAnsi="宋体"/>
                <w:color w:val="auto"/>
                <w:kern w:val="0"/>
                <w:sz w:val="18"/>
                <w:szCs w:val="21"/>
              </w:rPr>
            </w:pPr>
            <w:r>
              <w:rPr>
                <w:rFonts w:ascii="宋体" w:hAnsi="宋体"/>
                <w:color w:val="auto"/>
                <w:kern w:val="0"/>
                <w:sz w:val="18"/>
                <w:szCs w:val="21"/>
              </w:rPr>
              <w:t>应收利息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4" w:type="dxa"/>
            <w:vAlign w:val="bottom"/>
          </w:tcPr>
          <w:p>
            <w:pPr>
              <w:autoSpaceDE w:val="0"/>
              <w:autoSpaceDN w:val="0"/>
              <w:adjustRightInd w:val="0"/>
              <w:rPr>
                <w:rFonts w:ascii="宋体" w:hAnsi="宋体"/>
                <w:color w:val="auto"/>
                <w:kern w:val="0"/>
                <w:sz w:val="18"/>
                <w:szCs w:val="21"/>
              </w:rPr>
            </w:pPr>
            <w:r>
              <w:rPr>
                <w:rFonts w:ascii="宋体" w:hAnsi="宋体"/>
                <w:color w:val="auto"/>
                <w:kern w:val="0"/>
                <w:sz w:val="18"/>
                <w:szCs w:val="21"/>
              </w:rPr>
              <w:t>其他应收款组合</w:t>
            </w:r>
            <w:r>
              <w:rPr>
                <w:rFonts w:hint="eastAsia" w:ascii="宋体" w:hAnsi="宋体"/>
                <w:color w:val="auto"/>
                <w:kern w:val="0"/>
                <w:sz w:val="18"/>
                <w:szCs w:val="21"/>
              </w:rPr>
              <w:t>3</w:t>
            </w:r>
          </w:p>
        </w:tc>
        <w:tc>
          <w:tcPr>
            <w:tcW w:w="4644" w:type="dxa"/>
            <w:vAlign w:val="bottom"/>
          </w:tcPr>
          <w:p>
            <w:pPr>
              <w:autoSpaceDE w:val="0"/>
              <w:autoSpaceDN w:val="0"/>
              <w:adjustRightInd w:val="0"/>
              <w:ind w:firstLine="450" w:firstLineChars="250"/>
              <w:jc w:val="center"/>
              <w:rPr>
                <w:rFonts w:ascii="宋体" w:hAnsi="宋体"/>
                <w:color w:val="auto"/>
                <w:kern w:val="0"/>
                <w:sz w:val="18"/>
                <w:szCs w:val="21"/>
              </w:rPr>
            </w:pPr>
            <w:r>
              <w:rPr>
                <w:rFonts w:hint="eastAsia" w:ascii="宋体" w:hAnsi="宋体"/>
                <w:color w:val="auto"/>
                <w:kern w:val="0"/>
                <w:sz w:val="18"/>
                <w:szCs w:val="21"/>
              </w:rPr>
              <w:t>应收关联方款项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4" w:type="dxa"/>
            <w:vAlign w:val="bottom"/>
          </w:tcPr>
          <w:p>
            <w:pPr>
              <w:autoSpaceDE w:val="0"/>
              <w:autoSpaceDN w:val="0"/>
              <w:adjustRightInd w:val="0"/>
              <w:rPr>
                <w:rFonts w:ascii="宋体" w:hAnsi="宋体"/>
                <w:color w:val="auto"/>
                <w:kern w:val="0"/>
                <w:sz w:val="18"/>
                <w:szCs w:val="21"/>
              </w:rPr>
            </w:pPr>
            <w:r>
              <w:rPr>
                <w:rFonts w:ascii="宋体" w:hAnsi="宋体"/>
                <w:color w:val="auto"/>
                <w:kern w:val="0"/>
                <w:sz w:val="18"/>
                <w:szCs w:val="21"/>
              </w:rPr>
              <w:t>其他应收款组合</w:t>
            </w:r>
            <w:r>
              <w:rPr>
                <w:rFonts w:hint="eastAsia" w:ascii="宋体" w:hAnsi="宋体"/>
                <w:color w:val="auto"/>
                <w:kern w:val="0"/>
                <w:sz w:val="18"/>
                <w:szCs w:val="21"/>
              </w:rPr>
              <w:t>4</w:t>
            </w:r>
          </w:p>
        </w:tc>
        <w:tc>
          <w:tcPr>
            <w:tcW w:w="4644" w:type="dxa"/>
            <w:vAlign w:val="bottom"/>
          </w:tcPr>
          <w:p>
            <w:pPr>
              <w:autoSpaceDE w:val="0"/>
              <w:autoSpaceDN w:val="0"/>
              <w:adjustRightInd w:val="0"/>
              <w:ind w:firstLine="450" w:firstLineChars="250"/>
              <w:jc w:val="center"/>
              <w:rPr>
                <w:rFonts w:ascii="宋体" w:hAnsi="宋体"/>
                <w:color w:val="auto"/>
                <w:kern w:val="0"/>
                <w:sz w:val="18"/>
                <w:szCs w:val="21"/>
              </w:rPr>
            </w:pPr>
            <w:r>
              <w:rPr>
                <w:rFonts w:hint="eastAsia" w:ascii="宋体" w:hAnsi="宋体"/>
                <w:color w:val="auto"/>
                <w:kern w:val="0"/>
                <w:sz w:val="18"/>
                <w:szCs w:val="21"/>
              </w:rPr>
              <w:t>应收其他款项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4" w:type="dxa"/>
            <w:vAlign w:val="bottom"/>
          </w:tcPr>
          <w:p>
            <w:pPr>
              <w:autoSpaceDE w:val="0"/>
              <w:autoSpaceDN w:val="0"/>
              <w:adjustRightInd w:val="0"/>
              <w:rPr>
                <w:rFonts w:ascii="宋体" w:hAnsi="宋体"/>
                <w:color w:val="auto"/>
                <w:kern w:val="0"/>
                <w:sz w:val="18"/>
                <w:szCs w:val="21"/>
              </w:rPr>
            </w:pPr>
            <w:r>
              <w:rPr>
                <w:rFonts w:ascii="宋体" w:hAnsi="宋体"/>
                <w:color w:val="auto"/>
                <w:kern w:val="0"/>
                <w:sz w:val="18"/>
                <w:szCs w:val="21"/>
              </w:rPr>
              <w:t>其他应收款组合</w:t>
            </w:r>
            <w:r>
              <w:rPr>
                <w:rFonts w:hint="eastAsia" w:ascii="宋体" w:hAnsi="宋体"/>
                <w:color w:val="auto"/>
                <w:kern w:val="0"/>
                <w:sz w:val="18"/>
                <w:szCs w:val="21"/>
              </w:rPr>
              <w:t>5</w:t>
            </w:r>
          </w:p>
        </w:tc>
        <w:tc>
          <w:tcPr>
            <w:tcW w:w="4644" w:type="dxa"/>
            <w:vAlign w:val="bottom"/>
          </w:tcPr>
          <w:p>
            <w:pPr>
              <w:autoSpaceDE w:val="0"/>
              <w:autoSpaceDN w:val="0"/>
              <w:adjustRightInd w:val="0"/>
              <w:ind w:firstLine="450" w:firstLineChars="250"/>
              <w:jc w:val="center"/>
              <w:rPr>
                <w:rFonts w:ascii="宋体" w:hAnsi="宋体"/>
                <w:color w:val="auto"/>
                <w:kern w:val="0"/>
                <w:sz w:val="18"/>
                <w:szCs w:val="21"/>
              </w:rPr>
            </w:pPr>
            <w:r>
              <w:rPr>
                <w:rFonts w:ascii="宋体" w:hAnsi="宋体"/>
                <w:color w:val="auto"/>
                <w:kern w:val="0"/>
                <w:sz w:val="18"/>
                <w:szCs w:val="21"/>
              </w:rPr>
              <w:t>应收其他单位款项</w:t>
            </w:r>
          </w:p>
        </w:tc>
      </w:tr>
    </w:tbl>
    <w:p>
      <w:pPr>
        <w:pStyle w:val="4"/>
        <w:snapToGrid w:val="0"/>
        <w:spacing w:before="150" w:beforeLines="50" w:line="360" w:lineRule="auto"/>
        <w:ind w:firstLine="420" w:firstLineChars="200"/>
        <w:rPr>
          <w:rFonts w:hAnsi="宋体"/>
          <w:color w:val="auto"/>
          <w:kern w:val="0"/>
        </w:rPr>
      </w:pPr>
      <w:r>
        <w:rPr>
          <w:rFonts w:hAnsi="宋体"/>
          <w:color w:val="auto"/>
          <w:kern w:val="0"/>
        </w:rPr>
        <w:t>对于划分为组合的其他应收款，本公司参考历史信用损失经验，结合当前状况以及对未来经济状况的预测，通过违约风险敞口和未来12 个月内或整个存续期预期信用损失率，计算预期信用损失。</w:t>
      </w:r>
    </w:p>
    <w:p>
      <w:pPr>
        <w:pStyle w:val="4"/>
        <w:snapToGrid w:val="0"/>
        <w:spacing w:line="360" w:lineRule="auto"/>
        <w:ind w:firstLine="420" w:firstLineChars="200"/>
        <w:rPr>
          <w:rFonts w:hAnsi="宋体"/>
          <w:color w:val="auto"/>
          <w:kern w:val="0"/>
        </w:rPr>
      </w:pPr>
      <w:r>
        <w:rPr>
          <w:rFonts w:hint="eastAsia" w:hAnsi="宋体"/>
          <w:color w:val="auto"/>
          <w:kern w:val="0"/>
        </w:rPr>
        <w:t>d、应收款项融资确定组合的依据如下：</w:t>
      </w:r>
    </w:p>
    <w:tbl>
      <w:tblPr>
        <w:tblStyle w:val="9"/>
        <w:tblW w:w="928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4" w:type="dxa"/>
            <w:vAlign w:val="bottom"/>
          </w:tcPr>
          <w:p>
            <w:pPr>
              <w:autoSpaceDE w:val="0"/>
              <w:autoSpaceDN w:val="0"/>
              <w:adjustRightInd w:val="0"/>
              <w:rPr>
                <w:rFonts w:ascii="宋体" w:hAnsi="宋体"/>
                <w:color w:val="auto"/>
                <w:kern w:val="0"/>
                <w:sz w:val="18"/>
                <w:szCs w:val="21"/>
              </w:rPr>
            </w:pPr>
            <w:r>
              <w:rPr>
                <w:rFonts w:hint="eastAsia" w:ascii="宋体" w:hAnsi="宋体"/>
                <w:color w:val="auto"/>
                <w:kern w:val="0"/>
                <w:sz w:val="18"/>
                <w:szCs w:val="21"/>
              </w:rPr>
              <w:t>应收款项融资组合1--</w:t>
            </w:r>
            <w:r>
              <w:rPr>
                <w:rFonts w:ascii="宋体" w:hAnsi="宋体"/>
                <w:color w:val="auto"/>
                <w:kern w:val="0"/>
                <w:sz w:val="18"/>
                <w:szCs w:val="21"/>
              </w:rPr>
              <w:t>银行承兑汇票</w:t>
            </w:r>
          </w:p>
        </w:tc>
        <w:tc>
          <w:tcPr>
            <w:tcW w:w="4644" w:type="dxa"/>
            <w:vAlign w:val="bottom"/>
          </w:tcPr>
          <w:p>
            <w:pPr>
              <w:autoSpaceDE w:val="0"/>
              <w:autoSpaceDN w:val="0"/>
              <w:adjustRightInd w:val="0"/>
              <w:ind w:firstLine="450" w:firstLineChars="250"/>
              <w:jc w:val="center"/>
              <w:rPr>
                <w:rFonts w:ascii="宋体" w:hAnsi="宋体"/>
                <w:color w:val="auto"/>
                <w:kern w:val="0"/>
                <w:sz w:val="18"/>
                <w:szCs w:val="21"/>
              </w:rPr>
            </w:pPr>
            <w:r>
              <w:rPr>
                <w:rFonts w:ascii="宋体" w:hAnsi="宋体"/>
                <w:color w:val="auto"/>
                <w:kern w:val="0"/>
                <w:sz w:val="18"/>
                <w:szCs w:val="21"/>
              </w:rPr>
              <w:t>信用风险较低的银行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4" w:type="dxa"/>
            <w:vAlign w:val="bottom"/>
          </w:tcPr>
          <w:p>
            <w:pPr>
              <w:autoSpaceDE w:val="0"/>
              <w:autoSpaceDN w:val="0"/>
              <w:adjustRightInd w:val="0"/>
              <w:rPr>
                <w:rFonts w:ascii="宋体" w:hAnsi="宋体"/>
                <w:color w:val="auto"/>
                <w:kern w:val="0"/>
                <w:sz w:val="18"/>
                <w:szCs w:val="21"/>
              </w:rPr>
            </w:pPr>
            <w:r>
              <w:rPr>
                <w:rFonts w:hint="eastAsia" w:ascii="宋体" w:hAnsi="宋体"/>
                <w:color w:val="auto"/>
                <w:kern w:val="0"/>
                <w:sz w:val="18"/>
                <w:szCs w:val="21"/>
              </w:rPr>
              <w:t>应收款项融资组合2--</w:t>
            </w:r>
            <w:r>
              <w:rPr>
                <w:rFonts w:ascii="宋体" w:hAnsi="宋体"/>
                <w:color w:val="auto"/>
                <w:kern w:val="0"/>
                <w:sz w:val="18"/>
                <w:szCs w:val="21"/>
              </w:rPr>
              <w:t>商业承兑汇票</w:t>
            </w:r>
          </w:p>
        </w:tc>
        <w:tc>
          <w:tcPr>
            <w:tcW w:w="4644" w:type="dxa"/>
            <w:vAlign w:val="bottom"/>
          </w:tcPr>
          <w:p>
            <w:pPr>
              <w:autoSpaceDE w:val="0"/>
              <w:autoSpaceDN w:val="0"/>
              <w:adjustRightInd w:val="0"/>
              <w:ind w:firstLine="450" w:firstLineChars="250"/>
              <w:jc w:val="center"/>
              <w:rPr>
                <w:rFonts w:ascii="宋体" w:hAnsi="宋体"/>
                <w:color w:val="auto"/>
                <w:kern w:val="0"/>
                <w:sz w:val="18"/>
                <w:szCs w:val="21"/>
              </w:rPr>
            </w:pPr>
            <w:r>
              <w:rPr>
                <w:rFonts w:ascii="宋体" w:hAnsi="宋体"/>
                <w:color w:val="auto"/>
                <w:kern w:val="0"/>
                <w:sz w:val="18"/>
                <w:szCs w:val="21"/>
              </w:rPr>
              <w:t>信用风险较高的企业</w:t>
            </w:r>
          </w:p>
        </w:tc>
      </w:tr>
    </w:tbl>
    <w:p>
      <w:pPr>
        <w:autoSpaceDE w:val="0"/>
        <w:autoSpaceDN w:val="0"/>
        <w:adjustRightInd w:val="0"/>
        <w:spacing w:line="360" w:lineRule="auto"/>
        <w:ind w:firstLine="420" w:firstLineChars="200"/>
        <w:jc w:val="left"/>
        <w:rPr>
          <w:rFonts w:ascii="宋体" w:hAnsi="宋体" w:cs="Courier New"/>
          <w:color w:val="auto"/>
          <w:kern w:val="0"/>
          <w:szCs w:val="21"/>
        </w:rPr>
      </w:pPr>
      <w:r>
        <w:rPr>
          <w:rFonts w:hint="eastAsia" w:ascii="宋体" w:hAnsi="宋体" w:cs="Courier New"/>
          <w:color w:val="auto"/>
          <w:kern w:val="0"/>
          <w:szCs w:val="21"/>
        </w:rPr>
        <w:t>对于划分为组合的应收款项融资，本公司参考历史信用损失经验，结合当前状况以及对未来经济状况的预测，通过违约风险敞口和整个存续期预期信用损失率，计算预期信用损失。</w:t>
      </w:r>
      <w:r>
        <w:rPr>
          <w:rFonts w:hint="eastAsia" w:ascii="宋体" w:hAnsi="宋体" w:cs="Courier New"/>
          <w:color w:val="auto"/>
          <w:kern w:val="0"/>
          <w:szCs w:val="21"/>
        </w:rPr>
        <w:cr/>
      </w:r>
      <w:r>
        <w:rPr>
          <w:rFonts w:ascii="宋体" w:hAnsi="宋体" w:cs="Courier New"/>
          <w:color w:val="auto"/>
          <w:kern w:val="0"/>
          <w:szCs w:val="21"/>
        </w:rPr>
        <w:t xml:space="preserve">   </w:t>
      </w:r>
      <w:r>
        <w:rPr>
          <w:rFonts w:hint="eastAsia" w:ascii="宋体" w:hAnsi="宋体" w:cs="Courier New"/>
          <w:color w:val="auto"/>
          <w:kern w:val="0"/>
          <w:szCs w:val="21"/>
        </w:rPr>
        <w:t>e、合同资产确定组合的依据如下：</w:t>
      </w:r>
    </w:p>
    <w:tbl>
      <w:tblPr>
        <w:tblStyle w:val="9"/>
        <w:tblW w:w="928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4" w:type="dxa"/>
            <w:vAlign w:val="bottom"/>
          </w:tcPr>
          <w:p>
            <w:pPr>
              <w:autoSpaceDE w:val="0"/>
              <w:autoSpaceDN w:val="0"/>
              <w:adjustRightInd w:val="0"/>
              <w:rPr>
                <w:rFonts w:ascii="宋体" w:hAnsi="宋体"/>
                <w:color w:val="auto"/>
                <w:kern w:val="0"/>
                <w:sz w:val="18"/>
                <w:szCs w:val="21"/>
              </w:rPr>
            </w:pPr>
            <w:r>
              <w:rPr>
                <w:rFonts w:hint="eastAsia" w:ascii="宋体" w:hAnsi="宋体"/>
                <w:color w:val="auto"/>
                <w:kern w:val="0"/>
                <w:sz w:val="18"/>
                <w:szCs w:val="21"/>
              </w:rPr>
              <w:t>合同资产组合1</w:t>
            </w:r>
          </w:p>
        </w:tc>
        <w:tc>
          <w:tcPr>
            <w:tcW w:w="4644" w:type="dxa"/>
            <w:vAlign w:val="bottom"/>
          </w:tcPr>
          <w:p>
            <w:pPr>
              <w:autoSpaceDE w:val="0"/>
              <w:autoSpaceDN w:val="0"/>
              <w:adjustRightInd w:val="0"/>
              <w:ind w:firstLine="450" w:firstLineChars="250"/>
              <w:jc w:val="center"/>
              <w:rPr>
                <w:rFonts w:ascii="宋体" w:hAnsi="宋体"/>
                <w:color w:val="auto"/>
                <w:kern w:val="0"/>
                <w:sz w:val="18"/>
                <w:szCs w:val="21"/>
              </w:rPr>
            </w:pPr>
            <w:r>
              <w:rPr>
                <w:rFonts w:ascii="宋体" w:hAnsi="宋体"/>
                <w:color w:val="auto"/>
                <w:kern w:val="0"/>
                <w:sz w:val="18"/>
                <w:szCs w:val="21"/>
              </w:rPr>
              <w:t>应收第三方款项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44" w:type="dxa"/>
            <w:vAlign w:val="bottom"/>
          </w:tcPr>
          <w:p>
            <w:pPr>
              <w:autoSpaceDE w:val="0"/>
              <w:autoSpaceDN w:val="0"/>
              <w:adjustRightInd w:val="0"/>
              <w:rPr>
                <w:rFonts w:ascii="宋体" w:hAnsi="宋体"/>
                <w:color w:val="auto"/>
                <w:kern w:val="0"/>
                <w:sz w:val="18"/>
                <w:szCs w:val="21"/>
              </w:rPr>
            </w:pPr>
            <w:r>
              <w:rPr>
                <w:rFonts w:hint="eastAsia" w:ascii="宋体" w:hAnsi="宋体"/>
                <w:color w:val="auto"/>
                <w:kern w:val="0"/>
                <w:sz w:val="18"/>
                <w:szCs w:val="21"/>
              </w:rPr>
              <w:t>合同资产组合2</w:t>
            </w:r>
          </w:p>
        </w:tc>
        <w:tc>
          <w:tcPr>
            <w:tcW w:w="4644" w:type="dxa"/>
            <w:vAlign w:val="bottom"/>
          </w:tcPr>
          <w:p>
            <w:pPr>
              <w:autoSpaceDE w:val="0"/>
              <w:autoSpaceDN w:val="0"/>
              <w:adjustRightInd w:val="0"/>
              <w:ind w:firstLine="450" w:firstLineChars="250"/>
              <w:jc w:val="center"/>
              <w:rPr>
                <w:rFonts w:ascii="宋体" w:hAnsi="宋体"/>
                <w:color w:val="auto"/>
                <w:kern w:val="0"/>
                <w:sz w:val="18"/>
                <w:szCs w:val="21"/>
              </w:rPr>
            </w:pPr>
            <w:r>
              <w:rPr>
                <w:rFonts w:ascii="宋体" w:hAnsi="宋体"/>
                <w:color w:val="auto"/>
                <w:kern w:val="0"/>
                <w:sz w:val="18"/>
                <w:szCs w:val="21"/>
              </w:rPr>
              <w:t>应收关联方款项</w:t>
            </w:r>
          </w:p>
        </w:tc>
      </w:tr>
    </w:tbl>
    <w:p>
      <w:pPr>
        <w:spacing w:line="360" w:lineRule="auto"/>
        <w:ind w:firstLine="420" w:firstLineChars="200"/>
        <w:rPr>
          <w:color w:val="auto"/>
          <w:kern w:val="0"/>
          <w:szCs w:val="21"/>
        </w:rPr>
      </w:pPr>
      <w:r>
        <w:rPr>
          <w:rFonts w:hint="eastAsia" w:ascii="宋体" w:hAnsi="宋体" w:cs="Courier New"/>
          <w:color w:val="auto"/>
          <w:kern w:val="0"/>
          <w:szCs w:val="21"/>
        </w:rPr>
        <w:t>对于划分为组合的合同资产，本公司参考历史信用损失经验，结合当前状况以及对未来经济状况的预测，通过违约风险敞口和整个存续期预期信用损失率，计算预期信用损失。</w:t>
      </w:r>
      <w:r>
        <w:rPr>
          <w:rFonts w:hint="eastAsia" w:ascii="宋体" w:hAnsi="宋体" w:cs="Courier New"/>
          <w:color w:val="auto"/>
          <w:kern w:val="0"/>
          <w:szCs w:val="21"/>
        </w:rPr>
        <w:cr/>
      </w:r>
      <w:r>
        <w:rPr>
          <w:rFonts w:hint="eastAsia"/>
          <w:color w:val="auto"/>
          <w:kern w:val="0"/>
          <w:szCs w:val="21"/>
        </w:rPr>
        <w:t xml:space="preserve">     B 债权投资、其他债权投资</w:t>
      </w:r>
    </w:p>
    <w:p>
      <w:pPr>
        <w:spacing w:line="360" w:lineRule="auto"/>
        <w:ind w:firstLine="420" w:firstLineChars="200"/>
        <w:rPr>
          <w:color w:val="auto"/>
          <w:kern w:val="0"/>
          <w:szCs w:val="21"/>
        </w:rPr>
      </w:pPr>
      <w:r>
        <w:rPr>
          <w:rFonts w:hint="eastAsia"/>
          <w:color w:val="auto"/>
          <w:kern w:val="0"/>
          <w:szCs w:val="21"/>
        </w:rPr>
        <w:t>对于债权投资和其他债权投资，本公司按照投资的性质，根据交易对手和风险敞口的各种类型，通过违约风险敞口和未来 12 个月内或整个存续期预期信用损失率，计算预期信用损失。</w:t>
      </w:r>
    </w:p>
    <w:p>
      <w:pPr>
        <w:autoSpaceDE w:val="0"/>
        <w:autoSpaceDN w:val="0"/>
        <w:adjustRightInd w:val="0"/>
        <w:spacing w:line="360" w:lineRule="auto"/>
        <w:ind w:firstLine="420" w:firstLineChars="200"/>
        <w:jc w:val="left"/>
        <w:rPr>
          <w:color w:val="auto"/>
          <w:kern w:val="0"/>
          <w:szCs w:val="21"/>
        </w:rPr>
      </w:pPr>
      <w:r>
        <w:rPr>
          <w:rFonts w:hint="eastAsia"/>
          <w:color w:val="auto"/>
          <w:kern w:val="0"/>
          <w:szCs w:val="21"/>
        </w:rPr>
        <w:t>②具有较低的信用风险</w:t>
      </w:r>
    </w:p>
    <w:p>
      <w:pPr>
        <w:spacing w:line="360" w:lineRule="auto"/>
        <w:ind w:firstLine="420" w:firstLineChars="200"/>
        <w:rPr>
          <w:color w:val="auto"/>
          <w:kern w:val="0"/>
          <w:szCs w:val="21"/>
        </w:rPr>
      </w:pPr>
      <w:r>
        <w:rPr>
          <w:rFonts w:hint="eastAsia"/>
          <w:color w:val="auto"/>
          <w:kern w:val="0"/>
          <w:szCs w:val="21"/>
        </w:rPr>
        <w:t>如果金融工具的违约风险较低，借款人在短期内履行其合同现金流量义务的能力很强， 并且即便较长时期内经济形势和经营环境存在不利变化但未必一定降低借款人履行其合同现  金流量义务的能力，该金融工具被视为具有较低的信用风险。</w:t>
      </w:r>
    </w:p>
    <w:p>
      <w:pPr>
        <w:spacing w:line="360" w:lineRule="auto"/>
        <w:ind w:firstLine="420" w:firstLineChars="200"/>
        <w:rPr>
          <w:color w:val="auto"/>
          <w:kern w:val="0"/>
          <w:szCs w:val="21"/>
        </w:rPr>
      </w:pPr>
      <w:r>
        <w:rPr>
          <w:rFonts w:hint="eastAsia"/>
          <w:color w:val="auto"/>
          <w:kern w:val="0"/>
          <w:szCs w:val="21"/>
        </w:rPr>
        <w:t>③信用风险显著增加</w:t>
      </w:r>
    </w:p>
    <w:p>
      <w:pPr>
        <w:spacing w:line="360" w:lineRule="auto"/>
        <w:ind w:firstLine="420" w:firstLineChars="200"/>
        <w:rPr>
          <w:color w:val="auto"/>
          <w:kern w:val="0"/>
          <w:szCs w:val="21"/>
        </w:rPr>
      </w:pPr>
      <w:r>
        <w:rPr>
          <w:rFonts w:hint="eastAsia"/>
          <w:color w:val="auto"/>
          <w:kern w:val="0"/>
          <w:szCs w:val="21"/>
        </w:rPr>
        <w:t>本公司通过比较金融工具在资产负债表日所确定的预计存续期内的违约概率与在初始 确认时所确定的预计存续期内的违约概率，以确定金融工具预计存续期内发生违约概率的相 对变化，以评估金融工具的信用风险自初始确认后是否已显著增加。</w:t>
      </w:r>
    </w:p>
    <w:p>
      <w:pPr>
        <w:spacing w:line="360" w:lineRule="auto"/>
        <w:ind w:firstLine="420" w:firstLineChars="200"/>
        <w:rPr>
          <w:color w:val="auto"/>
          <w:kern w:val="0"/>
          <w:szCs w:val="21"/>
        </w:rPr>
      </w:pPr>
      <w:r>
        <w:rPr>
          <w:rFonts w:hint="eastAsia"/>
          <w:color w:val="auto"/>
          <w:kern w:val="0"/>
          <w:szCs w:val="21"/>
        </w:rPr>
        <w:t>在确定信用风险自初始确认后是否显著增加时，本公司考虑无须付出不必要的额外成本 或努力即可获得的合理且有依据的信息，包括前瞻性信息。本公司考虑的信息包括：</w:t>
      </w:r>
    </w:p>
    <w:p>
      <w:pPr>
        <w:spacing w:line="360" w:lineRule="auto"/>
        <w:ind w:firstLine="420" w:firstLineChars="200"/>
        <w:rPr>
          <w:color w:val="auto"/>
          <w:szCs w:val="21"/>
        </w:rPr>
      </w:pPr>
      <w:r>
        <w:rPr>
          <w:rFonts w:hint="eastAsia"/>
          <w:color w:val="auto"/>
          <w:szCs w:val="21"/>
        </w:rPr>
        <w:t>A.</w:t>
      </w:r>
      <w:r>
        <w:rPr>
          <w:rFonts w:hint="eastAsia"/>
          <w:color w:val="auto"/>
          <w:szCs w:val="21"/>
        </w:rPr>
        <w:tab/>
      </w:r>
      <w:r>
        <w:rPr>
          <w:rFonts w:hint="eastAsia"/>
          <w:color w:val="auto"/>
          <w:szCs w:val="21"/>
        </w:rPr>
        <w:t>信用风险变化所导致的内部价格指标是否发生显著变化；</w:t>
      </w:r>
    </w:p>
    <w:p>
      <w:pPr>
        <w:spacing w:line="360" w:lineRule="auto"/>
        <w:ind w:firstLine="420" w:firstLineChars="200"/>
        <w:rPr>
          <w:color w:val="auto"/>
          <w:szCs w:val="21"/>
        </w:rPr>
      </w:pPr>
      <w:r>
        <w:rPr>
          <w:rFonts w:hint="eastAsia"/>
          <w:color w:val="auto"/>
          <w:szCs w:val="21"/>
        </w:rPr>
        <w:t>B.</w:t>
      </w:r>
      <w:r>
        <w:rPr>
          <w:rFonts w:hint="eastAsia"/>
          <w:color w:val="auto"/>
          <w:szCs w:val="21"/>
        </w:rPr>
        <w:tab/>
      </w:r>
      <w:r>
        <w:rPr>
          <w:rFonts w:hint="eastAsia"/>
          <w:color w:val="auto"/>
          <w:szCs w:val="21"/>
        </w:rPr>
        <w:t>预期将导致债务人履行其偿债义务的能力是否发生显著变化的业务、财务或经济状 况的不利变化；</w:t>
      </w:r>
    </w:p>
    <w:p>
      <w:pPr>
        <w:spacing w:line="360" w:lineRule="auto"/>
        <w:ind w:firstLine="420" w:firstLineChars="200"/>
        <w:rPr>
          <w:color w:val="auto"/>
          <w:szCs w:val="21"/>
        </w:rPr>
      </w:pPr>
      <w:r>
        <w:rPr>
          <w:rFonts w:hint="eastAsia"/>
          <w:color w:val="auto"/>
          <w:szCs w:val="21"/>
        </w:rPr>
        <w:t>C.</w:t>
      </w:r>
      <w:r>
        <w:rPr>
          <w:rFonts w:hint="eastAsia"/>
          <w:color w:val="auto"/>
          <w:szCs w:val="21"/>
        </w:rPr>
        <w:tab/>
      </w:r>
      <w:r>
        <w:rPr>
          <w:rFonts w:hint="eastAsia"/>
          <w:color w:val="auto"/>
          <w:szCs w:val="21"/>
        </w:rPr>
        <w:t>债务人经营成果实际或预期是否发生显著变化；债务人所处的监管、经济或技术环 境是否发生显著不利变化；</w:t>
      </w:r>
    </w:p>
    <w:p>
      <w:pPr>
        <w:spacing w:line="360" w:lineRule="auto"/>
        <w:ind w:firstLine="420" w:firstLineChars="200"/>
        <w:rPr>
          <w:color w:val="auto"/>
          <w:szCs w:val="21"/>
        </w:rPr>
      </w:pPr>
      <w:r>
        <w:rPr>
          <w:rFonts w:hint="eastAsia"/>
          <w:color w:val="auto"/>
          <w:szCs w:val="21"/>
        </w:rPr>
        <w:t>D.</w:t>
      </w:r>
      <w:r>
        <w:rPr>
          <w:rFonts w:hint="eastAsia"/>
          <w:color w:val="auto"/>
          <w:szCs w:val="21"/>
        </w:rPr>
        <w:tab/>
      </w:r>
      <w:r>
        <w:rPr>
          <w:rFonts w:hint="eastAsia"/>
          <w:color w:val="auto"/>
          <w:szCs w:val="21"/>
        </w:rPr>
        <w:t>作为债务抵押的担保物价值或第三方提供的担保或信用增级质量是否发生显著变 化。这些变化预期将降低债务人按合同规定期限还款的经济动机或者影响违约概率；</w:t>
      </w:r>
    </w:p>
    <w:p>
      <w:pPr>
        <w:spacing w:line="360" w:lineRule="auto"/>
        <w:ind w:firstLine="420" w:firstLineChars="200"/>
        <w:rPr>
          <w:color w:val="auto"/>
          <w:szCs w:val="21"/>
        </w:rPr>
      </w:pPr>
      <w:r>
        <w:rPr>
          <w:rFonts w:hint="eastAsia"/>
          <w:color w:val="auto"/>
          <w:szCs w:val="21"/>
        </w:rPr>
        <w:t>E.</w:t>
      </w:r>
      <w:r>
        <w:rPr>
          <w:rFonts w:hint="eastAsia"/>
          <w:color w:val="auto"/>
          <w:szCs w:val="21"/>
        </w:rPr>
        <w:tab/>
      </w:r>
      <w:r>
        <w:rPr>
          <w:rFonts w:hint="eastAsia"/>
          <w:color w:val="auto"/>
          <w:szCs w:val="21"/>
        </w:rPr>
        <w:t>预期将降低债务人按合同约定期限还款的经济动机是否发生显著变化；</w:t>
      </w:r>
    </w:p>
    <w:p>
      <w:pPr>
        <w:spacing w:line="360" w:lineRule="auto"/>
        <w:ind w:firstLine="420" w:firstLineChars="200"/>
        <w:rPr>
          <w:color w:val="auto"/>
          <w:szCs w:val="21"/>
        </w:rPr>
      </w:pPr>
      <w:r>
        <w:rPr>
          <w:rFonts w:hint="eastAsia"/>
          <w:color w:val="auto"/>
          <w:szCs w:val="21"/>
        </w:rPr>
        <w:t>F.</w:t>
      </w:r>
      <w:r>
        <w:rPr>
          <w:rFonts w:hint="eastAsia"/>
          <w:color w:val="auto"/>
          <w:szCs w:val="21"/>
        </w:rPr>
        <w:tab/>
      </w:r>
      <w:r>
        <w:rPr>
          <w:rFonts w:hint="eastAsia"/>
          <w:color w:val="auto"/>
          <w:szCs w:val="21"/>
        </w:rPr>
        <w:t>借款合同的预期变更，包括预计违反合同的行为是否可能导致的合同义务的免除或 修订、给予免息期、利率跳升、要求追加抵押品或担保或者对金融工具的合同框架做出其他 变更；</w:t>
      </w:r>
    </w:p>
    <w:p>
      <w:pPr>
        <w:spacing w:line="360" w:lineRule="auto"/>
        <w:ind w:firstLine="420" w:firstLineChars="200"/>
        <w:rPr>
          <w:color w:val="auto"/>
          <w:szCs w:val="21"/>
        </w:rPr>
      </w:pPr>
      <w:r>
        <w:rPr>
          <w:rFonts w:hint="eastAsia"/>
          <w:color w:val="auto"/>
          <w:szCs w:val="21"/>
        </w:rPr>
        <w:t>G.</w:t>
      </w:r>
      <w:r>
        <w:rPr>
          <w:rFonts w:hint="eastAsia"/>
          <w:color w:val="auto"/>
          <w:szCs w:val="21"/>
        </w:rPr>
        <w:tab/>
      </w:r>
      <w:r>
        <w:rPr>
          <w:rFonts w:hint="eastAsia"/>
          <w:color w:val="auto"/>
          <w:szCs w:val="21"/>
        </w:rPr>
        <w:t>债务人预期表现和还款行为是否发生显著变化；</w:t>
      </w:r>
    </w:p>
    <w:p>
      <w:pPr>
        <w:spacing w:line="360" w:lineRule="auto"/>
        <w:ind w:firstLine="420" w:firstLineChars="200"/>
        <w:rPr>
          <w:color w:val="auto"/>
          <w:szCs w:val="21"/>
        </w:rPr>
      </w:pPr>
      <w:r>
        <w:rPr>
          <w:rFonts w:hint="eastAsia"/>
          <w:color w:val="auto"/>
          <w:szCs w:val="21"/>
        </w:rPr>
        <w:t>H.</w:t>
      </w:r>
      <w:r>
        <w:rPr>
          <w:rFonts w:hint="eastAsia"/>
          <w:color w:val="auto"/>
          <w:szCs w:val="21"/>
        </w:rPr>
        <w:tab/>
      </w:r>
      <w:r>
        <w:rPr>
          <w:rFonts w:hint="eastAsia"/>
          <w:color w:val="auto"/>
          <w:szCs w:val="21"/>
        </w:rPr>
        <w:t>合同付款是否发生逾期超过（含）30 日。</w:t>
      </w:r>
    </w:p>
    <w:p>
      <w:pPr>
        <w:spacing w:line="360" w:lineRule="auto"/>
        <w:ind w:firstLine="420" w:firstLineChars="200"/>
        <w:rPr>
          <w:color w:val="auto"/>
          <w:szCs w:val="21"/>
        </w:rPr>
      </w:pPr>
      <w:r>
        <w:rPr>
          <w:rFonts w:hint="eastAsia"/>
          <w:color w:val="auto"/>
          <w:szCs w:val="21"/>
        </w:rPr>
        <w:t>根据金融工具的性质，本公司以单项金融工具或金融工具组合为基础评估信用风险是否 显著增加。以金融工具组合为基础进行评估时，本公司可基于共同信用风险特征对金融工具 进行分类，例如逾期信息和信用风险评级。</w:t>
      </w:r>
    </w:p>
    <w:p>
      <w:pPr>
        <w:spacing w:line="360" w:lineRule="auto"/>
        <w:ind w:firstLine="420" w:firstLineChars="200"/>
        <w:rPr>
          <w:color w:val="auto"/>
          <w:szCs w:val="21"/>
        </w:rPr>
      </w:pPr>
      <w:r>
        <w:rPr>
          <w:rFonts w:hint="eastAsia"/>
          <w:color w:val="auto"/>
          <w:szCs w:val="21"/>
        </w:rPr>
        <w:t>通常情况下，如果逾期超过 30 日，本公司确定金融工具的信用风险已经显著增加。除非本公司无需付出过多成本或努力即可获得合理且有依据的信息，证明虽然超过合同约定的 付款期限 30 天，但信用风险自初始确认以来并未显著增加。</w:t>
      </w:r>
    </w:p>
    <w:p>
      <w:pPr>
        <w:spacing w:line="360" w:lineRule="auto"/>
        <w:ind w:firstLine="420" w:firstLineChars="200"/>
        <w:rPr>
          <w:color w:val="auto"/>
          <w:szCs w:val="21"/>
        </w:rPr>
      </w:pPr>
      <w:r>
        <w:rPr>
          <w:rFonts w:hint="eastAsia"/>
          <w:color w:val="auto"/>
          <w:szCs w:val="21"/>
        </w:rPr>
        <w:t>④已发生信用减值的金融资产</w:t>
      </w:r>
    </w:p>
    <w:p>
      <w:pPr>
        <w:spacing w:line="360" w:lineRule="auto"/>
        <w:ind w:firstLine="420" w:firstLineChars="200"/>
        <w:rPr>
          <w:color w:val="auto"/>
          <w:szCs w:val="21"/>
        </w:rPr>
      </w:pPr>
      <w:r>
        <w:rPr>
          <w:rFonts w:hint="eastAsia"/>
          <w:color w:val="auto"/>
          <w:szCs w:val="21"/>
        </w:rPr>
        <w:t>本公司在资产负债表日评估以摊余成本计量的金融资产和以公允价值计量且其变动计  入其他综合收益的债权投资是否已发生信用减值。当对金融资产预期未来现金流量具有不利  影响的一项或多项事件发生时，该金融资产成为已发生信用减值的金融资产。金融资产已发  生信用减值的证据包括下列可观察信息：发行方或债务人发生重大财务困难；债务人违反合  同，如偿付利息或本金违约或逾期等；债权人出于与债务人财务困难有关的经济或合同考虑， 给予债务人在任何其他情况下都不会做出的让步；债务人很可能破产或进行其他财务重组；</w:t>
      </w:r>
    </w:p>
    <w:p>
      <w:pPr>
        <w:spacing w:line="360" w:lineRule="auto"/>
        <w:ind w:firstLine="420" w:firstLineChars="200"/>
        <w:rPr>
          <w:color w:val="auto"/>
          <w:szCs w:val="21"/>
        </w:rPr>
      </w:pPr>
      <w:r>
        <w:rPr>
          <w:rFonts w:hint="eastAsia"/>
          <w:color w:val="auto"/>
          <w:szCs w:val="21"/>
        </w:rPr>
        <w:t>发行方或债务人财务困难导致该金融资产的活跃市场消失；以大幅折扣购买或源生一项金融 资产，该折扣反映了发生信用损失的事实。</w:t>
      </w:r>
    </w:p>
    <w:p>
      <w:pPr>
        <w:spacing w:line="360" w:lineRule="auto"/>
        <w:ind w:firstLine="420" w:firstLineChars="200"/>
        <w:rPr>
          <w:color w:val="auto"/>
          <w:szCs w:val="21"/>
        </w:rPr>
      </w:pPr>
      <w:r>
        <w:rPr>
          <w:rFonts w:hint="eastAsia"/>
          <w:color w:val="auto"/>
          <w:szCs w:val="21"/>
        </w:rPr>
        <w:t>⑤预期信用损失准备的列报</w:t>
      </w:r>
    </w:p>
    <w:p>
      <w:pPr>
        <w:spacing w:line="360" w:lineRule="auto"/>
        <w:ind w:firstLine="420" w:firstLineChars="200"/>
        <w:rPr>
          <w:color w:val="auto"/>
          <w:szCs w:val="21"/>
        </w:rPr>
      </w:pPr>
      <w:r>
        <w:rPr>
          <w:rFonts w:hint="eastAsia"/>
          <w:color w:val="auto"/>
          <w:szCs w:val="21"/>
        </w:rPr>
        <w:t>为反映金融工具的信用风险自初始确认后的变化，本公司在每个资产负债表日重新计量 预期信用损失，由此形成的损失准备的增加或转回金额，应当作为减值损失或利得计入当期 损益。对于以摊余成本计量的金融资产，损失准备抵减该金融资产在资产负债表中列示的账 面价值；对于以公允价值计量且其变动计入其他综合收益的债权投资，本公司在其他综合收 益中确认其损失准备，不抵减该金融资产的账面价值。</w:t>
      </w:r>
    </w:p>
    <w:p>
      <w:pPr>
        <w:spacing w:line="360" w:lineRule="auto"/>
        <w:ind w:firstLine="420" w:firstLineChars="200"/>
        <w:rPr>
          <w:color w:val="auto"/>
          <w:szCs w:val="21"/>
        </w:rPr>
      </w:pPr>
      <w:r>
        <w:rPr>
          <w:rFonts w:hint="eastAsia"/>
          <w:color w:val="auto"/>
          <w:szCs w:val="21"/>
        </w:rPr>
        <w:t>⑥核销</w:t>
      </w:r>
    </w:p>
    <w:p>
      <w:pPr>
        <w:spacing w:line="360" w:lineRule="auto"/>
        <w:ind w:firstLine="420" w:firstLineChars="200"/>
        <w:rPr>
          <w:color w:val="auto"/>
          <w:szCs w:val="21"/>
        </w:rPr>
      </w:pPr>
      <w:r>
        <w:rPr>
          <w:rFonts w:hint="eastAsia"/>
          <w:color w:val="auto"/>
          <w:szCs w:val="21"/>
        </w:rPr>
        <w:t>如果本公司不再合理预期金融资产合同现金流量能够全部或部分收回，则直接减记该金 融资产的账面余额，这种减记构成相关金融资产的终止确认。这种情况通常发生在本公司确 定债务人没有资产或收入来源可产生足够的现金流量以偿还将被减记的金额。已减记的金融 资产以后又收回的，作为减值损失的转回计入收回当期的损益。</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（十一）</w:t>
      </w:r>
      <w:r>
        <w:rPr>
          <w:rFonts w:ascii="宋体" w:hAnsi="宋体"/>
          <w:b/>
          <w:color w:val="auto"/>
          <w:sz w:val="24"/>
          <w:szCs w:val="24"/>
        </w:rPr>
        <w:t>应收票据</w:t>
      </w:r>
    </w:p>
    <w:p>
      <w:pPr>
        <w:autoSpaceDE w:val="0"/>
        <w:autoSpaceDN w:val="0"/>
        <w:adjustRightInd w:val="0"/>
        <w:spacing w:line="360" w:lineRule="auto"/>
        <w:ind w:firstLine="420" w:firstLineChars="200"/>
        <w:rPr>
          <w:color w:val="auto"/>
          <w:kern w:val="0"/>
          <w:szCs w:val="21"/>
        </w:rPr>
      </w:pPr>
      <w:r>
        <w:rPr>
          <w:color w:val="auto"/>
          <w:kern w:val="0"/>
          <w:szCs w:val="21"/>
        </w:rPr>
        <w:t>本公司对于应收票据按照相当于整个存续期内的预期信用损失金额计量损失准备。对于划分为组合的应收票据，本公司参考历史信用损失经验，结合当前状况以及对未来经济状况的预测，通过违约风险敞口和整个存续期预期信用损失率，计算预期信用损失。除了单项评估信用风险的应收票据外，基于应收票据的信用风险特征，将其划分为不同组合：</w:t>
      </w:r>
    </w:p>
    <w:tbl>
      <w:tblPr>
        <w:tblStyle w:val="9"/>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791"/>
        <w:gridCol w:w="50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31" w:type="pct"/>
            <w:vAlign w:val="center"/>
          </w:tcPr>
          <w:p>
            <w:pPr>
              <w:autoSpaceDE w:val="0"/>
              <w:autoSpaceDN w:val="0"/>
              <w:adjustRightInd w:val="0"/>
              <w:jc w:val="center"/>
              <w:rPr>
                <w:rFonts w:asciiTheme="majorEastAsia" w:hAnsiTheme="majorEastAsia" w:eastAsiaTheme="majorEastAsia"/>
                <w:b/>
                <w:color w:val="auto"/>
                <w:kern w:val="0"/>
                <w:sz w:val="18"/>
                <w:szCs w:val="21"/>
              </w:rPr>
            </w:pPr>
            <w:r>
              <w:rPr>
                <w:rFonts w:asciiTheme="majorEastAsia" w:hAnsiTheme="majorEastAsia" w:eastAsiaTheme="majorEastAsia"/>
                <w:b/>
                <w:color w:val="auto"/>
                <w:kern w:val="0"/>
                <w:sz w:val="18"/>
                <w:szCs w:val="21"/>
              </w:rPr>
              <w:t>项目</w:t>
            </w:r>
          </w:p>
        </w:tc>
        <w:tc>
          <w:tcPr>
            <w:tcW w:w="2569" w:type="pct"/>
            <w:vAlign w:val="center"/>
          </w:tcPr>
          <w:p>
            <w:pPr>
              <w:autoSpaceDE w:val="0"/>
              <w:autoSpaceDN w:val="0"/>
              <w:adjustRightInd w:val="0"/>
              <w:jc w:val="center"/>
              <w:rPr>
                <w:rFonts w:asciiTheme="majorEastAsia" w:hAnsiTheme="majorEastAsia" w:eastAsiaTheme="majorEastAsia"/>
                <w:b/>
                <w:color w:val="auto"/>
                <w:kern w:val="0"/>
                <w:sz w:val="18"/>
                <w:szCs w:val="21"/>
              </w:rPr>
            </w:pPr>
            <w:r>
              <w:rPr>
                <w:rFonts w:asciiTheme="majorEastAsia" w:hAnsiTheme="majorEastAsia" w:eastAsiaTheme="majorEastAsia"/>
                <w:b/>
                <w:color w:val="auto"/>
                <w:kern w:val="0"/>
                <w:sz w:val="18"/>
                <w:szCs w:val="21"/>
              </w:rPr>
              <w:t>确定组合的依据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31" w:type="pct"/>
            <w:vAlign w:val="bottom"/>
          </w:tcPr>
          <w:p>
            <w:pPr>
              <w:autoSpaceDE w:val="0"/>
              <w:autoSpaceDN w:val="0"/>
              <w:adjustRightInd w:val="0"/>
              <w:rPr>
                <w:rFonts w:asciiTheme="majorEastAsia" w:hAnsiTheme="majorEastAsia" w:eastAsiaTheme="majorEastAsia"/>
                <w:color w:val="auto"/>
                <w:kern w:val="0"/>
                <w:sz w:val="18"/>
                <w:szCs w:val="21"/>
              </w:rPr>
            </w:pPr>
            <w:r>
              <w:rPr>
                <w:rFonts w:asciiTheme="majorEastAsia" w:hAnsiTheme="majorEastAsia" w:eastAsiaTheme="majorEastAsia"/>
                <w:color w:val="auto"/>
                <w:kern w:val="0"/>
                <w:sz w:val="18"/>
                <w:szCs w:val="21"/>
              </w:rPr>
              <w:t>银行承兑汇票</w:t>
            </w:r>
          </w:p>
        </w:tc>
        <w:tc>
          <w:tcPr>
            <w:tcW w:w="2569" w:type="pct"/>
            <w:vAlign w:val="bottom"/>
          </w:tcPr>
          <w:p>
            <w:pPr>
              <w:autoSpaceDE w:val="0"/>
              <w:autoSpaceDN w:val="0"/>
              <w:adjustRightInd w:val="0"/>
              <w:jc w:val="center"/>
              <w:rPr>
                <w:rFonts w:asciiTheme="majorEastAsia" w:hAnsiTheme="majorEastAsia" w:eastAsiaTheme="majorEastAsia"/>
                <w:color w:val="auto"/>
                <w:kern w:val="0"/>
                <w:sz w:val="18"/>
                <w:szCs w:val="21"/>
              </w:rPr>
            </w:pPr>
            <w:r>
              <w:rPr>
                <w:rFonts w:asciiTheme="majorEastAsia" w:hAnsiTheme="majorEastAsia" w:eastAsiaTheme="majorEastAsia"/>
                <w:color w:val="auto"/>
                <w:kern w:val="0"/>
                <w:sz w:val="18"/>
                <w:szCs w:val="21"/>
              </w:rPr>
              <w:t>承兑人为信用风险较小的银行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31" w:type="pct"/>
            <w:vAlign w:val="bottom"/>
          </w:tcPr>
          <w:p>
            <w:pPr>
              <w:autoSpaceDE w:val="0"/>
              <w:autoSpaceDN w:val="0"/>
              <w:adjustRightInd w:val="0"/>
              <w:rPr>
                <w:rFonts w:asciiTheme="majorEastAsia" w:hAnsiTheme="majorEastAsia" w:eastAsiaTheme="majorEastAsia"/>
                <w:color w:val="auto"/>
                <w:kern w:val="0"/>
                <w:sz w:val="18"/>
                <w:szCs w:val="21"/>
              </w:rPr>
            </w:pPr>
            <w:r>
              <w:rPr>
                <w:rFonts w:asciiTheme="majorEastAsia" w:hAnsiTheme="majorEastAsia" w:eastAsiaTheme="majorEastAsia"/>
                <w:color w:val="auto"/>
                <w:kern w:val="0"/>
                <w:sz w:val="18"/>
                <w:szCs w:val="21"/>
              </w:rPr>
              <w:t>商业承兑汇票</w:t>
            </w:r>
          </w:p>
        </w:tc>
        <w:tc>
          <w:tcPr>
            <w:tcW w:w="2569" w:type="pct"/>
            <w:vAlign w:val="bottom"/>
          </w:tcPr>
          <w:p>
            <w:pPr>
              <w:autoSpaceDE w:val="0"/>
              <w:autoSpaceDN w:val="0"/>
              <w:adjustRightInd w:val="0"/>
              <w:jc w:val="center"/>
              <w:rPr>
                <w:rFonts w:asciiTheme="majorEastAsia" w:hAnsiTheme="majorEastAsia" w:eastAsiaTheme="majorEastAsia"/>
                <w:color w:val="auto"/>
                <w:kern w:val="0"/>
                <w:sz w:val="18"/>
                <w:szCs w:val="21"/>
              </w:rPr>
            </w:pPr>
            <w:r>
              <w:rPr>
                <w:rFonts w:asciiTheme="majorEastAsia" w:hAnsiTheme="majorEastAsia" w:eastAsiaTheme="majorEastAsia"/>
                <w:color w:val="auto"/>
                <w:kern w:val="0"/>
                <w:sz w:val="18"/>
                <w:szCs w:val="21"/>
              </w:rPr>
              <w:t>承兑人为信用风险较高的公司</w:t>
            </w:r>
          </w:p>
        </w:tc>
      </w:tr>
    </w:tbl>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（十二）应收账款</w:t>
      </w:r>
    </w:p>
    <w:p>
      <w:pPr>
        <w:autoSpaceDE w:val="0"/>
        <w:autoSpaceDN w:val="0"/>
        <w:adjustRightInd w:val="0"/>
        <w:spacing w:line="360" w:lineRule="auto"/>
        <w:ind w:firstLine="420" w:firstLineChars="200"/>
        <w:rPr>
          <w:color w:val="auto"/>
          <w:kern w:val="0"/>
          <w:szCs w:val="21"/>
        </w:rPr>
      </w:pPr>
      <w:r>
        <w:rPr>
          <w:color w:val="auto"/>
          <w:kern w:val="0"/>
          <w:szCs w:val="21"/>
        </w:rPr>
        <w:t>对于不含重大融资成分的应收账款，本公司按照相当于整个存续期内的预期信用损失金额计量损失准备。</w:t>
      </w:r>
    </w:p>
    <w:p>
      <w:pPr>
        <w:autoSpaceDE w:val="0"/>
        <w:autoSpaceDN w:val="0"/>
        <w:adjustRightInd w:val="0"/>
        <w:spacing w:line="360" w:lineRule="auto"/>
        <w:ind w:firstLine="420" w:firstLineChars="200"/>
        <w:rPr>
          <w:color w:val="auto"/>
          <w:kern w:val="0"/>
          <w:szCs w:val="21"/>
        </w:rPr>
      </w:pPr>
      <w:r>
        <w:rPr>
          <w:color w:val="auto"/>
          <w:kern w:val="0"/>
          <w:szCs w:val="21"/>
        </w:rPr>
        <w:t>对于包含重大融资成分的应收账款，本公司选择始终按照相当于存续期内预期信用损失的金额计量损失准备。</w:t>
      </w:r>
    </w:p>
    <w:p>
      <w:pPr>
        <w:autoSpaceDE w:val="0"/>
        <w:autoSpaceDN w:val="0"/>
        <w:adjustRightInd w:val="0"/>
        <w:spacing w:line="360" w:lineRule="auto"/>
        <w:ind w:firstLine="420" w:firstLineChars="200"/>
        <w:rPr>
          <w:color w:val="auto"/>
          <w:kern w:val="0"/>
          <w:szCs w:val="21"/>
        </w:rPr>
      </w:pPr>
      <w:r>
        <w:rPr>
          <w:color w:val="auto"/>
          <w:kern w:val="0"/>
          <w:szCs w:val="21"/>
        </w:rPr>
        <w:t>除了单项评估信用风险的应收账款外，基于其信用风险特征，将其划分为不同组合：</w:t>
      </w:r>
    </w:p>
    <w:tbl>
      <w:tblPr>
        <w:tblStyle w:val="9"/>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791"/>
        <w:gridCol w:w="50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31" w:type="pct"/>
            <w:vAlign w:val="center"/>
          </w:tcPr>
          <w:p>
            <w:pPr>
              <w:autoSpaceDE w:val="0"/>
              <w:autoSpaceDN w:val="0"/>
              <w:adjustRightInd w:val="0"/>
              <w:jc w:val="center"/>
              <w:rPr>
                <w:rFonts w:asciiTheme="majorEastAsia" w:hAnsiTheme="majorEastAsia" w:eastAsiaTheme="majorEastAsia"/>
                <w:b/>
                <w:color w:val="auto"/>
                <w:kern w:val="0"/>
                <w:sz w:val="18"/>
                <w:szCs w:val="21"/>
              </w:rPr>
            </w:pPr>
            <w:r>
              <w:rPr>
                <w:rFonts w:asciiTheme="majorEastAsia" w:hAnsiTheme="majorEastAsia" w:eastAsiaTheme="majorEastAsia"/>
                <w:b/>
                <w:color w:val="auto"/>
                <w:kern w:val="0"/>
                <w:sz w:val="18"/>
                <w:szCs w:val="21"/>
              </w:rPr>
              <w:t>项目</w:t>
            </w:r>
          </w:p>
        </w:tc>
        <w:tc>
          <w:tcPr>
            <w:tcW w:w="2569" w:type="pct"/>
            <w:vAlign w:val="center"/>
          </w:tcPr>
          <w:p>
            <w:pPr>
              <w:autoSpaceDE w:val="0"/>
              <w:autoSpaceDN w:val="0"/>
              <w:adjustRightInd w:val="0"/>
              <w:jc w:val="center"/>
              <w:rPr>
                <w:rFonts w:asciiTheme="majorEastAsia" w:hAnsiTheme="majorEastAsia" w:eastAsiaTheme="majorEastAsia"/>
                <w:b/>
                <w:color w:val="auto"/>
                <w:kern w:val="0"/>
                <w:sz w:val="18"/>
                <w:szCs w:val="21"/>
              </w:rPr>
            </w:pPr>
            <w:r>
              <w:rPr>
                <w:rFonts w:asciiTheme="majorEastAsia" w:hAnsiTheme="majorEastAsia" w:eastAsiaTheme="majorEastAsia"/>
                <w:b/>
                <w:color w:val="auto"/>
                <w:kern w:val="0"/>
                <w:sz w:val="18"/>
                <w:szCs w:val="21"/>
              </w:rPr>
              <w:t>确定组合的依据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31" w:type="pct"/>
            <w:vAlign w:val="bottom"/>
          </w:tcPr>
          <w:p>
            <w:pPr>
              <w:autoSpaceDE w:val="0"/>
              <w:autoSpaceDN w:val="0"/>
              <w:adjustRightInd w:val="0"/>
              <w:rPr>
                <w:rFonts w:asciiTheme="majorEastAsia" w:hAnsiTheme="majorEastAsia" w:eastAsiaTheme="majorEastAsia"/>
                <w:color w:val="auto"/>
                <w:kern w:val="0"/>
                <w:sz w:val="18"/>
                <w:szCs w:val="21"/>
              </w:rPr>
            </w:pPr>
            <w:r>
              <w:rPr>
                <w:rFonts w:asciiTheme="majorEastAsia" w:hAnsiTheme="majorEastAsia" w:eastAsiaTheme="majorEastAsia"/>
                <w:color w:val="auto"/>
                <w:kern w:val="0"/>
                <w:sz w:val="18"/>
                <w:szCs w:val="21"/>
              </w:rPr>
              <w:t>应收第三方款项</w:t>
            </w:r>
          </w:p>
        </w:tc>
        <w:tc>
          <w:tcPr>
            <w:tcW w:w="2569" w:type="pct"/>
            <w:vAlign w:val="bottom"/>
          </w:tcPr>
          <w:p>
            <w:pPr>
              <w:autoSpaceDE w:val="0"/>
              <w:autoSpaceDN w:val="0"/>
              <w:adjustRightInd w:val="0"/>
              <w:jc w:val="center"/>
              <w:rPr>
                <w:rFonts w:asciiTheme="majorEastAsia" w:hAnsiTheme="majorEastAsia" w:eastAsiaTheme="majorEastAsia"/>
                <w:color w:val="auto"/>
                <w:kern w:val="0"/>
                <w:sz w:val="18"/>
                <w:szCs w:val="21"/>
              </w:rPr>
            </w:pPr>
            <w:r>
              <w:rPr>
                <w:rFonts w:asciiTheme="majorEastAsia" w:hAnsiTheme="majorEastAsia" w:eastAsiaTheme="majorEastAsia"/>
                <w:color w:val="auto"/>
                <w:sz w:val="18"/>
              </w:rPr>
              <w:t>本组合以应收款项账龄作为信用风险特征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31" w:type="pct"/>
            <w:vAlign w:val="bottom"/>
          </w:tcPr>
          <w:p>
            <w:pPr>
              <w:autoSpaceDE w:val="0"/>
              <w:autoSpaceDN w:val="0"/>
              <w:adjustRightInd w:val="0"/>
              <w:rPr>
                <w:rFonts w:asciiTheme="majorEastAsia" w:hAnsiTheme="majorEastAsia" w:eastAsiaTheme="majorEastAsia"/>
                <w:color w:val="auto"/>
                <w:kern w:val="0"/>
                <w:sz w:val="18"/>
                <w:szCs w:val="21"/>
              </w:rPr>
            </w:pPr>
            <w:r>
              <w:rPr>
                <w:rFonts w:asciiTheme="majorEastAsia" w:hAnsiTheme="majorEastAsia" w:eastAsiaTheme="majorEastAsia"/>
                <w:color w:val="auto"/>
                <w:kern w:val="0"/>
                <w:sz w:val="18"/>
                <w:szCs w:val="21"/>
              </w:rPr>
              <w:t>应收关联方款项</w:t>
            </w:r>
          </w:p>
        </w:tc>
        <w:tc>
          <w:tcPr>
            <w:tcW w:w="2569" w:type="pct"/>
            <w:vAlign w:val="bottom"/>
          </w:tcPr>
          <w:p>
            <w:pPr>
              <w:autoSpaceDE w:val="0"/>
              <w:autoSpaceDN w:val="0"/>
              <w:adjustRightInd w:val="0"/>
              <w:jc w:val="center"/>
              <w:rPr>
                <w:rFonts w:asciiTheme="majorEastAsia" w:hAnsiTheme="majorEastAsia" w:eastAsiaTheme="majorEastAsia"/>
                <w:color w:val="auto"/>
                <w:kern w:val="0"/>
                <w:sz w:val="18"/>
                <w:szCs w:val="21"/>
              </w:rPr>
            </w:pPr>
            <w:r>
              <w:rPr>
                <w:rFonts w:asciiTheme="majorEastAsia" w:hAnsiTheme="majorEastAsia" w:eastAsiaTheme="majorEastAsia"/>
                <w:color w:val="auto"/>
                <w:sz w:val="18"/>
              </w:rPr>
              <w:t>本组合为风险较低应收关联方的应收款项</w:t>
            </w:r>
          </w:p>
        </w:tc>
      </w:tr>
    </w:tbl>
    <w:p>
      <w:pPr>
        <w:autoSpaceDE w:val="0"/>
        <w:autoSpaceDN w:val="0"/>
        <w:adjustRightInd w:val="0"/>
        <w:spacing w:before="150" w:beforeLines="50" w:line="360" w:lineRule="auto"/>
        <w:ind w:firstLine="420" w:firstLineChars="200"/>
        <w:rPr>
          <w:color w:val="auto"/>
          <w:kern w:val="0"/>
          <w:szCs w:val="21"/>
        </w:rPr>
      </w:pPr>
      <w:r>
        <w:rPr>
          <w:color w:val="auto"/>
          <w:kern w:val="0"/>
          <w:szCs w:val="21"/>
        </w:rPr>
        <w:t>对于划分为组合的应收账款，本公司参考历史信用损失经验，结合当前状况以及对未来经济状况的预测，编制应收账款逾期天数与整个存续期预期信用损失率对照表，计算预期信用损失。</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（十三）</w:t>
      </w:r>
      <w:r>
        <w:rPr>
          <w:rFonts w:ascii="宋体" w:hAnsi="宋体"/>
          <w:b/>
          <w:color w:val="auto"/>
          <w:sz w:val="24"/>
          <w:szCs w:val="24"/>
        </w:rPr>
        <w:t>应收款项融资</w:t>
      </w:r>
    </w:p>
    <w:p>
      <w:pPr>
        <w:autoSpaceDE w:val="0"/>
        <w:autoSpaceDN w:val="0"/>
        <w:spacing w:line="360" w:lineRule="auto"/>
        <w:ind w:firstLine="420" w:firstLineChars="200"/>
        <w:rPr>
          <w:color w:val="auto"/>
          <w:kern w:val="0"/>
          <w:szCs w:val="21"/>
        </w:rPr>
      </w:pPr>
      <w:r>
        <w:rPr>
          <w:rFonts w:hint="eastAsia"/>
          <w:color w:val="auto"/>
          <w:kern w:val="0"/>
          <w:szCs w:val="21"/>
        </w:rPr>
        <w:t>当应收票据和应收账款同时满足以下条件时，本公司将其划分为以公允价值计量且其变动计入其他综合收益的金融资产，相关具体会计处理方式见金融工具，在报表中列示为应收款项融资：</w:t>
      </w:r>
    </w:p>
    <w:p>
      <w:pPr>
        <w:autoSpaceDE w:val="0"/>
        <w:autoSpaceDN w:val="0"/>
        <w:spacing w:line="360" w:lineRule="auto"/>
        <w:ind w:firstLine="420" w:firstLineChars="200"/>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（1）合同现金流量为对本金和以未偿付本金金额为基础的利息的支付；</w:t>
      </w:r>
    </w:p>
    <w:p>
      <w:pPr>
        <w:spacing w:line="360" w:lineRule="auto"/>
        <w:ind w:firstLine="420" w:firstLineChars="200"/>
        <w:rPr>
          <w:rFonts w:ascii="宋体" w:hAnsi="宋体"/>
          <w:b/>
          <w:color w:val="auto"/>
          <w:sz w:val="24"/>
          <w:szCs w:val="24"/>
        </w:rPr>
      </w:pPr>
      <w:r>
        <w:rPr>
          <w:rFonts w:hint="eastAsia" w:asciiTheme="minorEastAsia" w:hAnsiTheme="minorEastAsia" w:eastAsiaTheme="minorEastAsia"/>
          <w:color w:val="auto"/>
          <w:kern w:val="0"/>
          <w:szCs w:val="21"/>
        </w:rPr>
        <w:t>（2）本公司管理应收票据和应收账款的业务模式既以收取合同现金流量为目标又以出售</w:t>
      </w:r>
      <w:r>
        <w:rPr>
          <w:rFonts w:hint="eastAsia"/>
          <w:color w:val="auto"/>
          <w:kern w:val="0"/>
          <w:szCs w:val="21"/>
        </w:rPr>
        <w:t>为目标。</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（十四）其他应收款</w:t>
      </w:r>
    </w:p>
    <w:p>
      <w:pPr>
        <w:spacing w:before="150" w:beforeLines="50" w:after="150" w:afterLines="50" w:line="360" w:lineRule="auto"/>
        <w:ind w:left="40" w:firstLine="440" w:firstLineChars="200"/>
        <w:rPr>
          <w:rFonts w:ascii="宋体" w:hAnsi="宋体"/>
          <w:b/>
          <w:bCs/>
          <w:color w:val="auto"/>
        </w:rPr>
      </w:pPr>
      <w:r>
        <w:rPr>
          <w:color w:val="auto"/>
          <w:w w:val="105"/>
        </w:rPr>
        <w:t>其他应收款的预期信用损失的确定方法及会计处理方法详见三、（十）金融工具。</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（十五）存货</w:t>
      </w:r>
    </w:p>
    <w:p>
      <w:pPr>
        <w:spacing w:line="360" w:lineRule="auto"/>
        <w:ind w:firstLine="420" w:firstLineChars="200"/>
        <w:rPr>
          <w:rFonts w:ascii="宋体" w:hAnsi="宋体"/>
          <w:b/>
          <w:color w:val="auto"/>
          <w:szCs w:val="21"/>
        </w:rPr>
      </w:pPr>
      <w:r>
        <w:rPr>
          <w:rFonts w:ascii="宋体" w:hAnsi="宋体"/>
          <w:b/>
          <w:color w:val="auto"/>
          <w:szCs w:val="21"/>
        </w:rPr>
        <w:t>1</w:t>
      </w:r>
      <w:r>
        <w:rPr>
          <w:rFonts w:hint="eastAsia" w:ascii="宋体" w:hAnsi="宋体"/>
          <w:b/>
          <w:color w:val="auto"/>
          <w:szCs w:val="21"/>
        </w:rPr>
        <w:t>、存货分类</w:t>
      </w:r>
    </w:p>
    <w:p>
      <w:pPr>
        <w:pStyle w:val="4"/>
        <w:spacing w:line="360" w:lineRule="auto"/>
        <w:ind w:firstLine="420" w:firstLineChars="200"/>
        <w:rPr>
          <w:rFonts w:hAnsi="宋体"/>
          <w:color w:val="auto"/>
        </w:rPr>
      </w:pPr>
      <w:r>
        <w:rPr>
          <w:rFonts w:hint="eastAsia" w:hAnsi="宋体"/>
          <w:color w:val="auto"/>
        </w:rPr>
        <w:t>公司存货包括生产经营过程中为销售或耗用而持有的原材料、</w:t>
      </w:r>
      <w:r>
        <w:rPr>
          <w:rFonts w:cs="Times New Roman"/>
          <w:color w:val="auto"/>
          <w:kern w:val="0"/>
        </w:rPr>
        <w:t>处在生产过程中的在产品</w:t>
      </w:r>
      <w:r>
        <w:rPr>
          <w:rFonts w:hint="eastAsia" w:hAnsi="宋体"/>
          <w:color w:val="auto"/>
        </w:rPr>
        <w:t>、在生产过程或提供劳务过程中耗用的材料和物料等。主要包括原材料、周转材料、委托加工物资、包装物、在产品、半成品、库存商品等。</w:t>
      </w:r>
    </w:p>
    <w:p>
      <w:pPr>
        <w:spacing w:line="360" w:lineRule="auto"/>
        <w:ind w:firstLine="420" w:firstLineChars="200"/>
        <w:rPr>
          <w:rFonts w:ascii="宋体" w:hAnsi="宋体"/>
          <w:b/>
          <w:color w:val="auto"/>
          <w:szCs w:val="21"/>
        </w:rPr>
      </w:pPr>
      <w:r>
        <w:rPr>
          <w:rFonts w:ascii="宋体" w:hAnsi="宋体"/>
          <w:b/>
          <w:color w:val="auto"/>
          <w:szCs w:val="21"/>
        </w:rPr>
        <w:t>2</w:t>
      </w:r>
      <w:r>
        <w:rPr>
          <w:rFonts w:hint="eastAsia" w:ascii="宋体" w:hAnsi="宋体"/>
          <w:b/>
          <w:color w:val="auto"/>
          <w:szCs w:val="21"/>
        </w:rPr>
        <w:t>、存货取得和发出的计价方法</w:t>
      </w:r>
    </w:p>
    <w:p>
      <w:pPr>
        <w:pStyle w:val="4"/>
        <w:spacing w:line="360" w:lineRule="auto"/>
        <w:ind w:firstLine="420" w:firstLineChars="200"/>
        <w:rPr>
          <w:rFonts w:hAnsi="宋体"/>
          <w:color w:val="auto"/>
        </w:rPr>
      </w:pPr>
      <w:r>
        <w:rPr>
          <w:rFonts w:hint="eastAsia" w:hAnsi="宋体"/>
          <w:color w:val="auto"/>
        </w:rPr>
        <w:t>（</w:t>
      </w:r>
      <w:r>
        <w:rPr>
          <w:rFonts w:hAnsi="宋体"/>
          <w:color w:val="auto"/>
        </w:rPr>
        <w:t>1</w:t>
      </w:r>
      <w:r>
        <w:rPr>
          <w:rFonts w:hint="eastAsia" w:hAnsi="宋体"/>
          <w:color w:val="auto"/>
        </w:rPr>
        <w:t>）公司存货按实际成本进行初始计量，存货成本包括采购成本、加工成本和其他使存货达到目前场所和状态所发生的支出。存货发出时，采用加权平均法确定其实际成本。</w:t>
      </w:r>
    </w:p>
    <w:p>
      <w:pPr>
        <w:pStyle w:val="4"/>
        <w:spacing w:line="360" w:lineRule="auto"/>
        <w:ind w:firstLine="420" w:firstLineChars="200"/>
        <w:rPr>
          <w:rFonts w:hAnsi="宋体"/>
          <w:color w:val="auto"/>
        </w:rPr>
      </w:pPr>
      <w:r>
        <w:rPr>
          <w:rFonts w:hint="eastAsia" w:hAnsi="宋体"/>
          <w:color w:val="auto"/>
        </w:rPr>
        <w:t>（</w:t>
      </w:r>
      <w:r>
        <w:rPr>
          <w:rFonts w:hAnsi="宋体"/>
          <w:color w:val="auto"/>
        </w:rPr>
        <w:t>2</w:t>
      </w:r>
      <w:r>
        <w:rPr>
          <w:rFonts w:hint="eastAsia" w:hAnsi="宋体"/>
          <w:color w:val="auto"/>
        </w:rPr>
        <w:t>）低值易耗品及周转材料采用五五摊销法核算。</w:t>
      </w:r>
    </w:p>
    <w:p>
      <w:pPr>
        <w:pStyle w:val="4"/>
        <w:spacing w:line="360" w:lineRule="auto"/>
        <w:ind w:firstLine="420" w:firstLineChars="200"/>
        <w:rPr>
          <w:rFonts w:hAnsi="宋体"/>
          <w:color w:val="auto"/>
        </w:rPr>
      </w:pPr>
      <w:r>
        <w:rPr>
          <w:rFonts w:hint="eastAsia" w:hAnsi="宋体"/>
          <w:color w:val="auto"/>
        </w:rPr>
        <w:t>（3）包装物采用一次摊销法核算。</w:t>
      </w:r>
    </w:p>
    <w:p>
      <w:pPr>
        <w:spacing w:line="360" w:lineRule="auto"/>
        <w:ind w:firstLine="420" w:firstLineChars="200"/>
        <w:rPr>
          <w:rFonts w:ascii="宋体" w:hAnsi="宋体"/>
          <w:b/>
          <w:color w:val="auto"/>
          <w:szCs w:val="21"/>
        </w:rPr>
      </w:pPr>
      <w:r>
        <w:rPr>
          <w:rFonts w:ascii="宋体" w:hAnsi="宋体"/>
          <w:b/>
          <w:color w:val="auto"/>
          <w:szCs w:val="21"/>
        </w:rPr>
        <w:t>3</w:t>
      </w:r>
      <w:r>
        <w:rPr>
          <w:rFonts w:hint="eastAsia" w:ascii="宋体" w:hAnsi="宋体"/>
          <w:b/>
          <w:color w:val="auto"/>
          <w:szCs w:val="21"/>
        </w:rPr>
        <w:t>、存货数量的盘存方法</w:t>
      </w:r>
    </w:p>
    <w:p>
      <w:pPr>
        <w:spacing w:line="360" w:lineRule="auto"/>
        <w:ind w:firstLine="420" w:firstLineChars="200"/>
        <w:rPr>
          <w:rFonts w:ascii="宋体" w:hAnsi="宋体"/>
          <w:color w:val="auto"/>
          <w:szCs w:val="21"/>
        </w:rPr>
      </w:pPr>
      <w:r>
        <w:rPr>
          <w:rFonts w:hint="eastAsia" w:ascii="宋体" w:hAnsi="宋体"/>
          <w:color w:val="auto"/>
          <w:szCs w:val="21"/>
        </w:rPr>
        <w:t>公司存货数量的盘存方法采用永续盘存制。</w:t>
      </w:r>
    </w:p>
    <w:p>
      <w:pPr>
        <w:spacing w:line="360" w:lineRule="auto"/>
        <w:ind w:firstLine="420" w:firstLineChars="200"/>
        <w:rPr>
          <w:rFonts w:ascii="宋体" w:hAnsi="宋体"/>
          <w:b/>
          <w:color w:val="auto"/>
          <w:szCs w:val="21"/>
        </w:rPr>
      </w:pPr>
      <w:r>
        <w:rPr>
          <w:rFonts w:ascii="宋体" w:hAnsi="宋体"/>
          <w:b/>
          <w:color w:val="auto"/>
          <w:szCs w:val="21"/>
        </w:rPr>
        <w:t>4</w:t>
      </w:r>
      <w:r>
        <w:rPr>
          <w:rFonts w:hint="eastAsia" w:ascii="宋体" w:hAnsi="宋体"/>
          <w:b/>
          <w:color w:val="auto"/>
          <w:szCs w:val="21"/>
        </w:rPr>
        <w:t>、存货跌价准备</w:t>
      </w:r>
    </w:p>
    <w:p>
      <w:pPr>
        <w:spacing w:line="360" w:lineRule="auto"/>
        <w:ind w:firstLine="420" w:firstLineChars="200"/>
        <w:rPr>
          <w:rFonts w:ascii="宋体" w:hAnsi="宋体"/>
          <w:color w:val="auto"/>
          <w:szCs w:val="21"/>
        </w:rPr>
      </w:pPr>
      <w:r>
        <w:rPr>
          <w:rFonts w:hint="eastAsia" w:ascii="宋体" w:hAnsi="宋体"/>
          <w:color w:val="auto"/>
          <w:szCs w:val="21"/>
        </w:rPr>
        <w:t>资产负债表日，本公司存货按照成本与可变现净值孰低计量。</w:t>
      </w:r>
    </w:p>
    <w:p>
      <w:pPr>
        <w:spacing w:line="360" w:lineRule="auto"/>
        <w:ind w:firstLine="420" w:firstLineChars="200"/>
        <w:rPr>
          <w:rFonts w:ascii="宋体" w:hAnsi="宋体"/>
          <w:color w:val="auto"/>
          <w:szCs w:val="21"/>
        </w:rPr>
      </w:pPr>
      <w:r>
        <w:rPr>
          <w:rFonts w:hint="eastAsia" w:ascii="宋体" w:hAnsi="宋体"/>
          <w:color w:val="auto"/>
          <w:szCs w:val="21"/>
        </w:rPr>
        <w:t>本公司对于产成品、商品和用于出售的材料等可直接用于出售的存货，按该等存货的估计售价减去估计的销售费用和相关税费后的金额确定其可变现净值；用于生产而持有的材料等存货，其可变现净值按所生产的产成品的估计售价减去至完工时估计将要发生的成本、估计的销售费用和相关税费后的金额确定；为执行销售合同或者劳务合同而持有的存货，其可变现净值以合同价格为基础计算，若本公司持有存货的数量多于销售合同订购数量的，超出部分的存货可变现净值以一般销售价格为基础计算。</w:t>
      </w:r>
    </w:p>
    <w:p>
      <w:pPr>
        <w:spacing w:line="360" w:lineRule="auto"/>
        <w:ind w:firstLine="420" w:firstLineChars="200"/>
        <w:rPr>
          <w:rFonts w:ascii="宋体" w:hAnsi="宋体"/>
          <w:color w:val="auto"/>
          <w:szCs w:val="21"/>
        </w:rPr>
      </w:pPr>
      <w:r>
        <w:rPr>
          <w:rFonts w:hint="eastAsia" w:ascii="宋体" w:hAnsi="宋体"/>
          <w:color w:val="auto"/>
          <w:szCs w:val="21"/>
        </w:rPr>
        <w:t>本公司按单个存货项目计提存货跌价准备。但如果某些存货与在同一地区生产和销售的产品系列相关、具有相同或类似最终用途或目的，且难以与其他项目分开计量，可以合并计量成本与可变现净值；对于数量繁多、单价较低的存货，本公司按照存货类别计量成本与可变现净值。</w:t>
      </w:r>
    </w:p>
    <w:p>
      <w:pPr>
        <w:spacing w:line="360" w:lineRule="auto"/>
        <w:ind w:firstLine="420" w:firstLineChars="200"/>
        <w:rPr>
          <w:rFonts w:ascii="宋体" w:hAnsi="宋体"/>
          <w:color w:val="auto"/>
          <w:szCs w:val="21"/>
        </w:rPr>
      </w:pPr>
      <w:r>
        <w:rPr>
          <w:rFonts w:hint="eastAsia" w:ascii="宋体" w:hAnsi="宋体"/>
          <w:color w:val="auto"/>
          <w:szCs w:val="21"/>
        </w:rPr>
        <w:t>在资产负债表日，如果本公司存货成本高于其可变现净值的，计提存货跌价准备，并计入当期损益。如果以前减记存货价值的影响因素已经消失的，本公司将减记的金额予以恢复，并在原已计提的存货跌价准备金额内转回，转回的金额计入当期损益。</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（十六）合同资产</w:t>
      </w:r>
    </w:p>
    <w:p>
      <w:pPr>
        <w:spacing w:line="360" w:lineRule="auto"/>
        <w:ind w:firstLine="420" w:firstLineChars="200"/>
        <w:rPr>
          <w:rFonts w:ascii="宋体" w:hAnsi="宋体"/>
          <w:color w:val="auto"/>
          <w:szCs w:val="21"/>
        </w:rPr>
      </w:pPr>
      <w:r>
        <w:rPr>
          <w:rFonts w:hint="eastAsia" w:ascii="宋体" w:hAnsi="宋体"/>
          <w:color w:val="auto"/>
          <w:szCs w:val="21"/>
        </w:rPr>
        <w:t>本公司将拥有的、无条件（即仅取决于时间流逝）向客户收取对价的权利作为应收款项列示，将已向客户转让商品而有权收取对价的权利，且该权利取决于时间流逝之外的其他因素作为合同资产列示。向客户销售两项可明确区分的商品，因已交付其中一项商品而有权收取款项，但收取该款项还取决于交付另一项商品的，本公司将该收款权利作为合同资产。</w:t>
      </w:r>
    </w:p>
    <w:p>
      <w:pPr>
        <w:spacing w:line="360" w:lineRule="auto"/>
        <w:ind w:firstLine="420" w:firstLineChars="200"/>
        <w:rPr>
          <w:rFonts w:ascii="宋体" w:hAnsi="宋体"/>
          <w:color w:val="auto"/>
          <w:szCs w:val="21"/>
        </w:rPr>
      </w:pPr>
      <w:r>
        <w:rPr>
          <w:rFonts w:hint="eastAsia" w:ascii="宋体" w:hAnsi="宋体"/>
          <w:color w:val="auto"/>
          <w:szCs w:val="21"/>
        </w:rPr>
        <w:t>本公司对于因销售商品、提供劳务等日常经营活动形成的合同资产，无论是否存在重大融资成分，均按照整个存续期的预期信用损失计量损失准备。</w:t>
      </w:r>
      <w:r>
        <w:rPr>
          <w:rFonts w:ascii="宋体" w:hAnsi="宋体"/>
          <w:color w:val="auto"/>
          <w:szCs w:val="21"/>
        </w:rPr>
        <w:t>本公司对合同资产的预期信用 损失的确定方法及会计处理方法详见三、（十）金融工具。</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（十七）合同成本</w:t>
      </w:r>
    </w:p>
    <w:p>
      <w:pPr>
        <w:spacing w:line="360" w:lineRule="auto"/>
        <w:ind w:firstLine="420" w:firstLineChars="200"/>
        <w:rPr>
          <w:bCs/>
          <w:color w:val="auto"/>
        </w:rPr>
      </w:pPr>
      <w:r>
        <w:rPr>
          <w:rFonts w:hint="eastAsia"/>
          <w:bCs/>
          <w:color w:val="auto"/>
        </w:rPr>
        <w:t>1、</w:t>
      </w:r>
      <w:r>
        <w:rPr>
          <w:bCs/>
          <w:color w:val="auto"/>
        </w:rPr>
        <w:t>合同履约成本，是指</w:t>
      </w:r>
      <w:r>
        <w:rPr>
          <w:rFonts w:hint="eastAsia"/>
          <w:bCs/>
          <w:color w:val="auto"/>
        </w:rPr>
        <w:t>本</w:t>
      </w:r>
      <w:r>
        <w:rPr>
          <w:bCs/>
          <w:color w:val="auto"/>
        </w:rPr>
        <w:t>公司为履行合同发生的成本，该成本不属于收入准则以外的其他准则规范范围且同时满足下列条件：</w:t>
      </w:r>
    </w:p>
    <w:p>
      <w:pPr>
        <w:spacing w:line="360" w:lineRule="auto"/>
        <w:ind w:firstLine="420" w:firstLineChars="200"/>
        <w:rPr>
          <w:bCs/>
          <w:color w:val="auto"/>
        </w:rPr>
      </w:pPr>
      <w:r>
        <w:rPr>
          <w:bCs/>
          <w:color w:val="auto"/>
        </w:rPr>
        <w:t>（1）该成本与一份当前或预期取得的合同直接相关，包括直接人工、直接材料、制造费用（或类似费用）、明确由客户承担的成本以及仅因该合同而发生的其他成本；</w:t>
      </w:r>
    </w:p>
    <w:p>
      <w:pPr>
        <w:spacing w:line="360" w:lineRule="auto"/>
        <w:ind w:firstLine="420" w:firstLineChars="200"/>
        <w:rPr>
          <w:bCs/>
          <w:color w:val="auto"/>
        </w:rPr>
      </w:pPr>
      <w:r>
        <w:rPr>
          <w:bCs/>
          <w:color w:val="auto"/>
        </w:rPr>
        <w:t>（2）该成本增加了</w:t>
      </w:r>
      <w:r>
        <w:rPr>
          <w:rFonts w:hint="eastAsia"/>
          <w:bCs/>
          <w:color w:val="auto"/>
        </w:rPr>
        <w:t>本</w:t>
      </w:r>
      <w:r>
        <w:rPr>
          <w:bCs/>
          <w:color w:val="auto"/>
        </w:rPr>
        <w:t>公司未来用于履行履约义务的资源；</w:t>
      </w:r>
    </w:p>
    <w:p>
      <w:pPr>
        <w:spacing w:line="360" w:lineRule="auto"/>
        <w:ind w:firstLine="420" w:firstLineChars="200"/>
        <w:rPr>
          <w:bCs/>
          <w:color w:val="auto"/>
        </w:rPr>
      </w:pPr>
      <w:r>
        <w:rPr>
          <w:bCs/>
          <w:color w:val="auto"/>
        </w:rPr>
        <w:t>（3）该成本预期能够收回。</w:t>
      </w:r>
    </w:p>
    <w:p>
      <w:pPr>
        <w:spacing w:line="360" w:lineRule="auto"/>
        <w:ind w:firstLine="420" w:firstLineChars="200"/>
        <w:rPr>
          <w:bCs/>
          <w:color w:val="auto"/>
        </w:rPr>
      </w:pPr>
      <w:r>
        <w:rPr>
          <w:rFonts w:hint="eastAsia"/>
          <w:bCs/>
          <w:color w:val="auto"/>
        </w:rPr>
        <w:t>本</w:t>
      </w:r>
      <w:r>
        <w:rPr>
          <w:bCs/>
          <w:color w:val="auto"/>
        </w:rPr>
        <w:t>公司的下列支出于发生时，计入当期损益：</w:t>
      </w:r>
    </w:p>
    <w:p>
      <w:pPr>
        <w:spacing w:line="360" w:lineRule="auto"/>
        <w:ind w:firstLine="420" w:firstLineChars="200"/>
        <w:rPr>
          <w:bCs/>
          <w:color w:val="auto"/>
        </w:rPr>
      </w:pPr>
      <w:r>
        <w:rPr>
          <w:bCs/>
          <w:color w:val="auto"/>
        </w:rPr>
        <w:t>（1）管理费用。</w:t>
      </w:r>
    </w:p>
    <w:p>
      <w:pPr>
        <w:spacing w:line="360" w:lineRule="auto"/>
        <w:ind w:firstLine="420" w:firstLineChars="200"/>
        <w:rPr>
          <w:bCs/>
          <w:color w:val="auto"/>
        </w:rPr>
      </w:pPr>
      <w:r>
        <w:rPr>
          <w:bCs/>
          <w:color w:val="auto"/>
        </w:rPr>
        <w:t>（2）非正常消耗的直接材料、直接人工和制造费用（或类似费用），这些支出为履行合同发生，但未反映在合同价格中。</w:t>
      </w:r>
    </w:p>
    <w:p>
      <w:pPr>
        <w:spacing w:line="360" w:lineRule="auto"/>
        <w:ind w:firstLine="420" w:firstLineChars="200"/>
        <w:rPr>
          <w:bCs/>
          <w:color w:val="auto"/>
        </w:rPr>
      </w:pPr>
      <w:r>
        <w:rPr>
          <w:bCs/>
          <w:color w:val="auto"/>
        </w:rPr>
        <w:t>（3）与履约义务中已履行部分相关的支出。</w:t>
      </w:r>
    </w:p>
    <w:p>
      <w:pPr>
        <w:spacing w:line="360" w:lineRule="auto"/>
        <w:ind w:firstLine="420" w:firstLineChars="200"/>
        <w:rPr>
          <w:bCs/>
          <w:color w:val="auto"/>
        </w:rPr>
      </w:pPr>
      <w:r>
        <w:rPr>
          <w:bCs/>
          <w:color w:val="auto"/>
        </w:rPr>
        <w:t>（4）无法在尚未履行的与已履行的履约义务之间区分的相关支出。</w:t>
      </w:r>
    </w:p>
    <w:p>
      <w:pPr>
        <w:spacing w:line="360" w:lineRule="auto"/>
        <w:ind w:firstLine="420" w:firstLineChars="200"/>
        <w:rPr>
          <w:bCs/>
          <w:color w:val="auto"/>
        </w:rPr>
      </w:pPr>
      <w:r>
        <w:rPr>
          <w:rFonts w:hint="eastAsia"/>
          <w:bCs/>
          <w:color w:val="auto"/>
        </w:rPr>
        <w:t>2、本</w:t>
      </w:r>
      <w:r>
        <w:rPr>
          <w:bCs/>
          <w:color w:val="auto"/>
        </w:rPr>
        <w:t>公司为取得合同发生的增量成本预期能够收回的，作为合同取得成本确认为一项资产；如该资产摊销期限不超过一年的，在发生时计入当期损益。增量成本，是指</w:t>
      </w:r>
      <w:r>
        <w:rPr>
          <w:rFonts w:hint="eastAsia"/>
          <w:bCs/>
          <w:color w:val="auto"/>
        </w:rPr>
        <w:t>本</w:t>
      </w:r>
      <w:r>
        <w:rPr>
          <w:bCs/>
          <w:color w:val="auto"/>
        </w:rPr>
        <w:t>公司不取得合同就不会发生的成本（如销售佣金等）。</w:t>
      </w:r>
      <w:r>
        <w:rPr>
          <w:rFonts w:hint="eastAsia"/>
          <w:bCs/>
          <w:color w:val="auto"/>
        </w:rPr>
        <w:t>本</w:t>
      </w:r>
      <w:r>
        <w:rPr>
          <w:bCs/>
          <w:color w:val="auto"/>
        </w:rPr>
        <w:t>公司为取得合同发生的、除预期能够收回的增量成本之外的其他支出（如无论是否取得合同均会发生的差旅费等），在发生时计入当期损益，但是，明确由客户承担的除外。</w:t>
      </w:r>
    </w:p>
    <w:p>
      <w:pPr>
        <w:spacing w:line="360" w:lineRule="auto"/>
        <w:ind w:firstLine="420" w:firstLineChars="200"/>
        <w:rPr>
          <w:bCs/>
          <w:color w:val="auto"/>
        </w:rPr>
      </w:pPr>
      <w:r>
        <w:rPr>
          <w:rFonts w:hint="eastAsia"/>
          <w:bCs/>
          <w:color w:val="auto"/>
        </w:rPr>
        <w:t>3、本</w:t>
      </w:r>
      <w:r>
        <w:rPr>
          <w:bCs/>
          <w:color w:val="auto"/>
        </w:rPr>
        <w:t>公司与合同成本有关的资产，应当采用与该资产相关的商品收入确认相同的基础进行摊销，计入当期损益。</w:t>
      </w:r>
    </w:p>
    <w:p>
      <w:pPr>
        <w:spacing w:line="360" w:lineRule="auto"/>
        <w:ind w:firstLine="420" w:firstLineChars="200"/>
        <w:rPr>
          <w:bCs/>
          <w:color w:val="auto"/>
        </w:rPr>
      </w:pPr>
      <w:r>
        <w:rPr>
          <w:rFonts w:hint="eastAsia"/>
          <w:bCs/>
          <w:color w:val="auto"/>
        </w:rPr>
        <w:t>4、本</w:t>
      </w:r>
      <w:r>
        <w:rPr>
          <w:bCs/>
          <w:color w:val="auto"/>
        </w:rPr>
        <w:t>公司与合同成本有关的资产，其账面价值高于下列两项的差额的，超出部分计提减值准备，并确认为资产减值损失：</w:t>
      </w:r>
    </w:p>
    <w:p>
      <w:pPr>
        <w:spacing w:line="360" w:lineRule="auto"/>
        <w:ind w:firstLine="420" w:firstLineChars="200"/>
        <w:rPr>
          <w:bCs/>
          <w:color w:val="auto"/>
        </w:rPr>
      </w:pPr>
      <w:r>
        <w:rPr>
          <w:rFonts w:hint="eastAsia"/>
          <w:bCs/>
          <w:color w:val="auto"/>
        </w:rPr>
        <w:t>（</w:t>
      </w:r>
      <w:r>
        <w:rPr>
          <w:bCs/>
          <w:color w:val="auto"/>
        </w:rPr>
        <w:t>1）</w:t>
      </w:r>
      <w:r>
        <w:rPr>
          <w:rFonts w:hint="eastAsia"/>
          <w:bCs/>
          <w:color w:val="auto"/>
        </w:rPr>
        <w:t>本</w:t>
      </w:r>
      <w:r>
        <w:rPr>
          <w:bCs/>
          <w:color w:val="auto"/>
        </w:rPr>
        <w:t>公司因转让与该资产相关的商品预期能够取得的剩余对价；</w:t>
      </w:r>
    </w:p>
    <w:p>
      <w:pPr>
        <w:spacing w:line="360" w:lineRule="auto"/>
        <w:ind w:firstLine="420" w:firstLineChars="200"/>
        <w:rPr>
          <w:bCs/>
          <w:color w:val="auto"/>
        </w:rPr>
      </w:pPr>
      <w:r>
        <w:rPr>
          <w:rFonts w:hint="eastAsia"/>
          <w:bCs/>
          <w:color w:val="auto"/>
        </w:rPr>
        <w:t>（</w:t>
      </w:r>
      <w:r>
        <w:rPr>
          <w:bCs/>
          <w:color w:val="auto"/>
        </w:rPr>
        <w:t>2）为转让该相关商品估计将要发生的成本。</w:t>
      </w:r>
    </w:p>
    <w:p>
      <w:pPr>
        <w:spacing w:line="360" w:lineRule="auto"/>
        <w:ind w:firstLine="420" w:firstLineChars="200"/>
        <w:rPr>
          <w:bCs/>
          <w:color w:val="auto"/>
        </w:rPr>
      </w:pPr>
      <w:r>
        <w:rPr>
          <w:rFonts w:hint="eastAsia"/>
          <w:bCs/>
          <w:color w:val="auto"/>
        </w:rPr>
        <w:t>以前期间减值的因素之后发生变化，使得上述（1）减（2）的差额高于该资产账面价值的，本公司转回原已计提的资产减值准备，并计入当期损益，但转回后的资产账面价值不超过假定不计提减值准备情况下该资产在转回日的账面价值。</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（十八）持有待售资产</w:t>
      </w:r>
    </w:p>
    <w:p>
      <w:pPr>
        <w:autoSpaceDE w:val="0"/>
        <w:autoSpaceDN w:val="0"/>
        <w:adjustRightInd w:val="0"/>
        <w:spacing w:line="360" w:lineRule="auto"/>
        <w:ind w:firstLine="420" w:firstLineChars="200"/>
        <w:jc w:val="left"/>
        <w:rPr>
          <w:rFonts w:ascii="宋体" w:hAnsi="宋体" w:cs="宋体"/>
          <w:b/>
          <w:color w:val="auto"/>
          <w:kern w:val="0"/>
        </w:rPr>
      </w:pPr>
      <w:r>
        <w:rPr>
          <w:rFonts w:ascii="宋体" w:hAnsi="宋体" w:cs="宋体"/>
          <w:b/>
          <w:color w:val="auto"/>
          <w:kern w:val="0"/>
        </w:rPr>
        <w:t>1</w:t>
      </w:r>
      <w:r>
        <w:rPr>
          <w:rFonts w:hint="eastAsia" w:ascii="宋体" w:hAnsi="宋体" w:cs="宋体"/>
          <w:b/>
          <w:color w:val="auto"/>
          <w:kern w:val="0"/>
        </w:rPr>
        <w:t>、持有待售的非流动资产或处置组的分类与计量</w:t>
      </w:r>
    </w:p>
    <w:p>
      <w:pPr>
        <w:spacing w:line="360" w:lineRule="auto"/>
        <w:ind w:firstLine="420" w:firstLineChars="200"/>
        <w:rPr>
          <w:rFonts w:ascii="宋体" w:hAnsi="宋体"/>
          <w:color w:val="auto"/>
          <w:szCs w:val="21"/>
        </w:rPr>
      </w:pPr>
      <w:r>
        <w:rPr>
          <w:rFonts w:hint="eastAsia" w:ascii="宋体" w:hAnsi="宋体"/>
          <w:color w:val="auto"/>
          <w:szCs w:val="21"/>
        </w:rPr>
        <w:t>本公司主要通过出售（包括具有商业实质的非货币性资产交换）而非持续使用一项非流动资产或处置组收回其账面价值时，该非流动资产或处置组被划分为持有待售类别。</w:t>
      </w:r>
    </w:p>
    <w:p>
      <w:pPr>
        <w:spacing w:line="360" w:lineRule="auto"/>
        <w:ind w:firstLine="420" w:firstLineChars="200"/>
        <w:rPr>
          <w:rFonts w:ascii="宋体" w:hAnsi="宋体"/>
          <w:color w:val="auto"/>
          <w:szCs w:val="21"/>
        </w:rPr>
      </w:pPr>
      <w:r>
        <w:rPr>
          <w:rFonts w:hint="eastAsia" w:ascii="宋体" w:hAnsi="宋体"/>
          <w:color w:val="auto"/>
          <w:szCs w:val="21"/>
        </w:rPr>
        <w:t>处置组，是指在一项交易中作为整体通过出售或其他方式一并处置的一组资产，以及在该交易中转让的与这些资产直接相关的负债。处置组所属的资产组或资产组组合按照《企业会计准则第8号——资产减值》分摊了企业合并中取得的商誉的，该处置组应当包含分摊至处置组的商誉。</w:t>
      </w:r>
    </w:p>
    <w:p>
      <w:pPr>
        <w:spacing w:line="360" w:lineRule="auto"/>
        <w:ind w:firstLine="420" w:firstLineChars="200"/>
        <w:rPr>
          <w:rFonts w:ascii="宋体" w:hAnsi="宋体"/>
          <w:color w:val="auto"/>
          <w:szCs w:val="21"/>
        </w:rPr>
      </w:pPr>
      <w:r>
        <w:rPr>
          <w:rFonts w:hint="eastAsia" w:ascii="宋体" w:hAnsi="宋体"/>
          <w:color w:val="auto"/>
          <w:szCs w:val="21"/>
        </w:rPr>
        <w:t>同时满足下列条件的非流动资产或处置组被划分为持有待售类别：根据类似交易中出售此类资产或处置组的惯例，该非流动资产或处置组在当前状况下即可立即出售；出售极可能发生，即已经就一项出售计划作出决议且获得确定的购买承诺，预计出售将在一年内完成。</w:t>
      </w:r>
    </w:p>
    <w:p>
      <w:pPr>
        <w:spacing w:line="360" w:lineRule="auto"/>
        <w:ind w:firstLine="420" w:firstLineChars="200"/>
        <w:rPr>
          <w:rFonts w:ascii="宋体" w:hAnsi="宋体"/>
          <w:color w:val="auto"/>
          <w:szCs w:val="21"/>
        </w:rPr>
      </w:pPr>
      <w:r>
        <w:rPr>
          <w:rFonts w:hint="eastAsia" w:ascii="宋体" w:hAnsi="宋体"/>
          <w:color w:val="auto"/>
          <w:szCs w:val="21"/>
        </w:rPr>
        <w:t>因出售对子公司的投资等原因导致丧失对子公司控制权的，无论出售后本公司是否保留部分权益性投资，在拟出售的对子公司投资满足持有待售类别划分条件时，在个别财务报表中将对子公司投资整体划分为持有待售类别，在合并财务报表中将子公司所有资产和负债划分为持有待售类别。</w:t>
      </w:r>
    </w:p>
    <w:p>
      <w:pPr>
        <w:spacing w:line="360" w:lineRule="auto"/>
        <w:ind w:firstLine="420" w:firstLineChars="200"/>
        <w:rPr>
          <w:rFonts w:ascii="宋体" w:hAnsi="宋体"/>
          <w:color w:val="auto"/>
          <w:szCs w:val="21"/>
        </w:rPr>
      </w:pPr>
      <w:r>
        <w:rPr>
          <w:rFonts w:hint="eastAsia" w:ascii="宋体" w:hAnsi="宋体"/>
          <w:color w:val="auto"/>
          <w:szCs w:val="21"/>
        </w:rPr>
        <w:t>初始计量或在资产负债表日重新计量持有待售的非流动资产或处置组时，账面价值高于公允价值减去出售费用后净额的差额确认为资产减值损失。对于持有待售的处置组确认的资产减值损失金额，先抵减处置组中商誉的账面价值，再根据处置组中的各项非流动资产账面价值所占比重，按比例抵减其账面价值。</w:t>
      </w:r>
    </w:p>
    <w:p>
      <w:pPr>
        <w:spacing w:line="360" w:lineRule="auto"/>
        <w:ind w:firstLine="420" w:firstLineChars="200"/>
        <w:rPr>
          <w:rFonts w:ascii="宋体" w:hAnsi="宋体"/>
          <w:color w:val="auto"/>
          <w:szCs w:val="21"/>
        </w:rPr>
      </w:pPr>
      <w:r>
        <w:rPr>
          <w:rFonts w:hint="eastAsia" w:ascii="宋体" w:hAnsi="宋体"/>
          <w:color w:val="auto"/>
          <w:szCs w:val="21"/>
        </w:rPr>
        <w:t>后续资产负债表日持有待售的非流动资产或处置组公允价值减去出售费用后的净额增加的，以前减记的金额予以恢复，并在划分为持有待售类别后确认的资产减值损失金额内转回，转回金额计入当期损益。已抵减的商誉账面价值和划分为持有待售类别前确认的资产减值损失不得转回。</w:t>
      </w:r>
    </w:p>
    <w:p>
      <w:pPr>
        <w:spacing w:line="360" w:lineRule="auto"/>
        <w:ind w:firstLine="420" w:firstLineChars="200"/>
        <w:rPr>
          <w:rFonts w:ascii="宋体" w:hAnsi="宋体"/>
          <w:color w:val="auto"/>
          <w:szCs w:val="21"/>
        </w:rPr>
      </w:pPr>
      <w:r>
        <w:rPr>
          <w:rFonts w:hint="eastAsia" w:ascii="宋体" w:hAnsi="宋体"/>
          <w:color w:val="auto"/>
          <w:szCs w:val="21"/>
        </w:rPr>
        <w:t>持有待售的非流动资产和持有待售的处置组中的资产不计提折旧或进行摊销；持有待售的处置组中负债的利息和其他费用继续予以确认。</w:t>
      </w:r>
    </w:p>
    <w:p>
      <w:pPr>
        <w:spacing w:line="360" w:lineRule="auto"/>
        <w:ind w:firstLine="420" w:firstLineChars="200"/>
        <w:rPr>
          <w:rFonts w:ascii="宋体" w:hAnsi="宋体"/>
          <w:color w:val="auto"/>
          <w:szCs w:val="21"/>
        </w:rPr>
      </w:pPr>
      <w:r>
        <w:rPr>
          <w:rFonts w:hint="eastAsia" w:ascii="宋体" w:hAnsi="宋体"/>
          <w:color w:val="auto"/>
          <w:szCs w:val="21"/>
        </w:rPr>
        <w:t>某项非流动资产或处置组被划分为持有待售类别，但后来不再满足持有待售类别划分条件的，本公司停止将其划分为持有待售类别，并按照下列两项金额中较低者计量：</w:t>
      </w:r>
    </w:p>
    <w:p>
      <w:pPr>
        <w:spacing w:line="360" w:lineRule="auto"/>
        <w:ind w:firstLine="420" w:firstLineChars="200"/>
        <w:rPr>
          <w:rFonts w:ascii="宋体" w:hAnsi="宋体"/>
          <w:color w:val="auto"/>
          <w:szCs w:val="21"/>
        </w:rPr>
      </w:pPr>
      <w:r>
        <w:rPr>
          <w:rFonts w:hint="eastAsia" w:ascii="宋体" w:hAnsi="宋体"/>
          <w:color w:val="auto"/>
          <w:szCs w:val="21"/>
        </w:rPr>
        <w:t>①该资产或处置组被划分为持有待售类别之前的账面价值，按照其假定在没有被划分为持有待售类别的情况下本应确认的折旧、摊销或减值进行调整后的金额；</w:t>
      </w:r>
    </w:p>
    <w:p>
      <w:pPr>
        <w:spacing w:line="360" w:lineRule="auto"/>
        <w:ind w:firstLine="420" w:firstLineChars="200"/>
        <w:rPr>
          <w:rFonts w:ascii="宋体" w:hAnsi="宋体"/>
          <w:color w:val="auto"/>
          <w:szCs w:val="21"/>
        </w:rPr>
      </w:pPr>
      <w:r>
        <w:rPr>
          <w:rFonts w:hint="eastAsia" w:ascii="宋体" w:hAnsi="宋体"/>
          <w:color w:val="auto"/>
          <w:szCs w:val="21"/>
        </w:rPr>
        <w:t>②可收回金额。</w:t>
      </w:r>
    </w:p>
    <w:p>
      <w:pPr>
        <w:autoSpaceDE w:val="0"/>
        <w:autoSpaceDN w:val="0"/>
        <w:adjustRightInd w:val="0"/>
        <w:spacing w:line="360" w:lineRule="auto"/>
        <w:ind w:firstLine="420" w:firstLineChars="200"/>
        <w:rPr>
          <w:rFonts w:ascii="宋体" w:hAnsi="宋体" w:cs="宋体"/>
          <w:b/>
          <w:color w:val="auto"/>
          <w:kern w:val="0"/>
        </w:rPr>
      </w:pPr>
      <w:r>
        <w:rPr>
          <w:rFonts w:ascii="宋体" w:hAnsi="宋体" w:cs="宋体"/>
          <w:b/>
          <w:color w:val="auto"/>
          <w:kern w:val="0"/>
        </w:rPr>
        <w:t>2</w:t>
      </w:r>
      <w:r>
        <w:rPr>
          <w:rFonts w:hint="eastAsia" w:ascii="宋体" w:hAnsi="宋体" w:cs="宋体"/>
          <w:b/>
          <w:color w:val="auto"/>
          <w:kern w:val="0"/>
        </w:rPr>
        <w:t>、</w:t>
      </w:r>
      <w:r>
        <w:rPr>
          <w:rFonts w:hint="eastAsia" w:ascii="宋体" w:hAnsi="宋体"/>
          <w:b/>
          <w:color w:val="auto"/>
          <w:kern w:val="0"/>
        </w:rPr>
        <w:t>终止经营</w:t>
      </w:r>
    </w:p>
    <w:p>
      <w:pPr>
        <w:spacing w:line="360" w:lineRule="auto"/>
        <w:ind w:firstLine="420" w:firstLineChars="200"/>
        <w:rPr>
          <w:rFonts w:ascii="宋体" w:hAnsi="宋体"/>
          <w:color w:val="auto"/>
          <w:szCs w:val="21"/>
        </w:rPr>
      </w:pPr>
      <w:r>
        <w:rPr>
          <w:rFonts w:hint="eastAsia" w:ascii="宋体" w:hAnsi="宋体"/>
          <w:color w:val="auto"/>
          <w:szCs w:val="21"/>
        </w:rPr>
        <w:t>终止经营，是指满足下列条件之一的已被本公司处置或被本公司划分为持有待售类别的、能够单独区分的组成部分：</w:t>
      </w:r>
    </w:p>
    <w:p>
      <w:pPr>
        <w:spacing w:line="360" w:lineRule="auto"/>
        <w:ind w:firstLine="420" w:firstLineChars="200"/>
        <w:rPr>
          <w:rFonts w:ascii="宋体" w:hAnsi="宋体"/>
          <w:color w:val="auto"/>
          <w:szCs w:val="21"/>
        </w:rPr>
      </w:pPr>
      <w:r>
        <w:rPr>
          <w:rFonts w:hint="eastAsia" w:ascii="宋体" w:hAnsi="宋体"/>
          <w:color w:val="auto"/>
          <w:szCs w:val="21"/>
        </w:rPr>
        <w:t>①该组成部分代表一项独立的主要业务或一个单独的主要经营地区。</w:t>
      </w:r>
    </w:p>
    <w:p>
      <w:pPr>
        <w:spacing w:line="360" w:lineRule="auto"/>
        <w:ind w:firstLine="420" w:firstLineChars="200"/>
        <w:rPr>
          <w:rFonts w:ascii="宋体" w:hAnsi="宋体"/>
          <w:color w:val="auto"/>
          <w:szCs w:val="21"/>
        </w:rPr>
      </w:pPr>
      <w:r>
        <w:rPr>
          <w:rFonts w:hint="eastAsia" w:ascii="宋体" w:hAnsi="宋体"/>
          <w:color w:val="auto"/>
          <w:szCs w:val="21"/>
        </w:rPr>
        <w:t>②该组成部分是拟对一项独立的主要业务或一个单独的主要经营地区进行处置的一项相关联计划的一部分。</w:t>
      </w:r>
    </w:p>
    <w:p>
      <w:pPr>
        <w:spacing w:line="360" w:lineRule="auto"/>
        <w:ind w:firstLine="420" w:firstLineChars="200"/>
        <w:rPr>
          <w:rFonts w:ascii="宋体" w:hAnsi="宋体"/>
          <w:color w:val="auto"/>
          <w:szCs w:val="21"/>
        </w:rPr>
      </w:pPr>
      <w:r>
        <w:rPr>
          <w:rFonts w:hint="eastAsia" w:ascii="宋体" w:hAnsi="宋体"/>
          <w:color w:val="auto"/>
          <w:szCs w:val="21"/>
        </w:rPr>
        <w:t>③该组成部分是专为转售而取得的子公司。</w:t>
      </w:r>
    </w:p>
    <w:p>
      <w:pPr>
        <w:autoSpaceDE w:val="0"/>
        <w:autoSpaceDN w:val="0"/>
        <w:adjustRightInd w:val="0"/>
        <w:spacing w:line="360" w:lineRule="auto"/>
        <w:ind w:firstLine="420" w:firstLineChars="200"/>
        <w:rPr>
          <w:rFonts w:ascii="宋体" w:hAnsi="宋体" w:cs="宋体"/>
          <w:b/>
          <w:color w:val="auto"/>
          <w:kern w:val="0"/>
        </w:rPr>
      </w:pPr>
      <w:r>
        <w:rPr>
          <w:rFonts w:hint="eastAsia" w:ascii="宋体" w:hAnsi="宋体" w:cs="宋体"/>
          <w:b/>
          <w:color w:val="auto"/>
          <w:kern w:val="0"/>
        </w:rPr>
        <w:t>3、列报</w:t>
      </w:r>
    </w:p>
    <w:p>
      <w:pPr>
        <w:spacing w:line="360" w:lineRule="auto"/>
        <w:ind w:firstLine="420" w:firstLineChars="200"/>
        <w:rPr>
          <w:rFonts w:ascii="宋体" w:hAnsi="宋体"/>
          <w:color w:val="auto"/>
          <w:szCs w:val="21"/>
        </w:rPr>
      </w:pPr>
      <w:r>
        <w:rPr>
          <w:rFonts w:hint="eastAsia" w:ascii="宋体" w:hAnsi="宋体"/>
          <w:color w:val="auto"/>
          <w:szCs w:val="21"/>
        </w:rPr>
        <w:t>本公司在资产负债表中将持有待售的非流动资产或持有待售的处置组中的资产列报于“持有待售资产”，将持有待售的处置组中的负债列报于“持有待售负债”。</w:t>
      </w:r>
    </w:p>
    <w:p>
      <w:pPr>
        <w:spacing w:line="360" w:lineRule="auto"/>
        <w:ind w:firstLine="420" w:firstLineChars="200"/>
        <w:rPr>
          <w:rFonts w:ascii="宋体" w:hAnsi="宋体"/>
          <w:color w:val="auto"/>
          <w:szCs w:val="21"/>
        </w:rPr>
      </w:pPr>
      <w:r>
        <w:rPr>
          <w:rFonts w:hint="eastAsia" w:ascii="宋体" w:hAnsi="宋体"/>
          <w:color w:val="auto"/>
          <w:szCs w:val="21"/>
        </w:rPr>
        <w:t>本公司在利润表中分别列示持续经营损益和终止经营损益。不符合终止经营定义的持有待售的非流动资产或处置组，其减值损失和转回金额及处置损益作为持续经营损益列报。终止经营的减值损失和转回金额等经营损益及处置损益作为终止经营损益列报。</w:t>
      </w:r>
    </w:p>
    <w:p>
      <w:pPr>
        <w:spacing w:line="360" w:lineRule="auto"/>
        <w:ind w:firstLine="420" w:firstLineChars="200"/>
        <w:rPr>
          <w:rFonts w:ascii="宋体" w:hAnsi="宋体"/>
          <w:color w:val="auto"/>
          <w:szCs w:val="21"/>
        </w:rPr>
      </w:pPr>
      <w:r>
        <w:rPr>
          <w:rFonts w:hint="eastAsia" w:ascii="宋体" w:hAnsi="宋体"/>
          <w:color w:val="auto"/>
          <w:szCs w:val="21"/>
        </w:rPr>
        <w:t>拟结束使用而非出售且满足终止经营定义中有关组成部分的条件的处置组，自其停止使用日起作为终止经营列报。</w:t>
      </w:r>
    </w:p>
    <w:p>
      <w:pPr>
        <w:spacing w:line="360" w:lineRule="auto"/>
        <w:ind w:firstLine="420" w:firstLineChars="200"/>
        <w:rPr>
          <w:rFonts w:ascii="宋体" w:hAnsi="宋体"/>
          <w:color w:val="auto"/>
          <w:szCs w:val="21"/>
        </w:rPr>
      </w:pPr>
      <w:r>
        <w:rPr>
          <w:rFonts w:hint="eastAsia" w:ascii="宋体" w:hAnsi="宋体"/>
          <w:color w:val="auto"/>
          <w:szCs w:val="21"/>
        </w:rPr>
        <w:t>对于当期列报的终止经营，在当期财务报表中，原来作为持续经营损益列报的信息被重新作为可比会计期间的终止经营损益列报。终止经营不再满足持有待售类别划分条件的，在当期财务报表中，原来作为终止经营损益列报的信息被重新作为可比会计期间的持续经营损益列报。</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（十九）长期股权投资</w:t>
      </w:r>
    </w:p>
    <w:p>
      <w:pPr>
        <w:spacing w:line="360" w:lineRule="auto"/>
        <w:ind w:firstLine="420" w:firstLineChars="200"/>
        <w:rPr>
          <w:rFonts w:ascii="宋体" w:hAnsi="宋体"/>
          <w:color w:val="auto"/>
          <w:szCs w:val="21"/>
        </w:rPr>
      </w:pPr>
      <w:r>
        <w:rPr>
          <w:rFonts w:ascii="宋体" w:hAnsi="宋体"/>
          <w:color w:val="auto"/>
          <w:szCs w:val="21"/>
        </w:rPr>
        <w:t>长期股权投资是指本公司对被投资单位具有控制、共同控制或重大影响的长期股权投资。</w:t>
      </w:r>
    </w:p>
    <w:p>
      <w:pPr>
        <w:spacing w:line="360" w:lineRule="auto"/>
        <w:ind w:firstLine="420" w:firstLineChars="200"/>
        <w:rPr>
          <w:rFonts w:ascii="宋体" w:hAnsi="宋体"/>
          <w:b/>
          <w:color w:val="auto"/>
        </w:rPr>
      </w:pPr>
      <w:r>
        <w:rPr>
          <w:rFonts w:hint="eastAsia" w:ascii="宋体" w:hAnsi="宋体"/>
          <w:b/>
          <w:color w:val="auto"/>
        </w:rPr>
        <w:t>1、</w:t>
      </w:r>
      <w:r>
        <w:rPr>
          <w:rFonts w:hint="eastAsia" w:ascii="宋体" w:hAnsi="宋体"/>
          <w:b/>
          <w:color w:val="auto"/>
          <w:kern w:val="0"/>
        </w:rPr>
        <w:t>初始投资成本确定</w:t>
      </w:r>
    </w:p>
    <w:p>
      <w:pPr>
        <w:spacing w:line="360" w:lineRule="auto"/>
        <w:ind w:firstLine="420" w:firstLineChars="200"/>
        <w:rPr>
          <w:rFonts w:ascii="宋体" w:hAnsi="宋体"/>
          <w:color w:val="auto"/>
          <w:szCs w:val="21"/>
        </w:rPr>
      </w:pPr>
      <w:r>
        <w:rPr>
          <w:rFonts w:hint="eastAsia" w:ascii="宋体" w:hAnsi="宋体"/>
          <w:color w:val="auto"/>
          <w:szCs w:val="21"/>
        </w:rPr>
        <w:t>（1）对于企业合并取得的长期股权投资，如为同一控制下的企业合并，应当按照取得被合并方所有者权益账面价值的份额确认为初始成本；非同一控制下的企业合并，应当按购买日确定的合并成本确认为初始成本；</w:t>
      </w:r>
    </w:p>
    <w:p>
      <w:pPr>
        <w:spacing w:line="360" w:lineRule="auto"/>
        <w:ind w:firstLine="420" w:firstLineChars="200"/>
        <w:rPr>
          <w:rFonts w:ascii="宋体" w:hAnsi="宋体"/>
          <w:color w:val="auto"/>
          <w:szCs w:val="21"/>
        </w:rPr>
      </w:pPr>
      <w:r>
        <w:rPr>
          <w:rFonts w:hint="eastAsia" w:ascii="宋体" w:hAnsi="宋体"/>
          <w:color w:val="auto"/>
          <w:szCs w:val="21"/>
        </w:rPr>
        <w:t>（2）除企业合并形成的长期股权投资外的其他股权投资，以支付现金取得的长期股权投资，初始投资成本为实际支付的购买价款；以发行权益性证券取得的长期股权投资，初始投资成本为发行权益性证券的公允价值；通过债务重组取得的长期股权投资，其初始投资成本应当按照《企业会计准则第</w:t>
      </w:r>
      <w:r>
        <w:rPr>
          <w:rFonts w:ascii="宋体" w:hAnsi="宋体"/>
          <w:color w:val="auto"/>
          <w:szCs w:val="21"/>
        </w:rPr>
        <w:t>12</w:t>
      </w:r>
      <w:r>
        <w:rPr>
          <w:rFonts w:hint="eastAsia" w:ascii="宋体" w:hAnsi="宋体"/>
          <w:color w:val="auto"/>
          <w:szCs w:val="21"/>
        </w:rPr>
        <w:t>号</w:t>
      </w:r>
      <w:r>
        <w:rPr>
          <w:rFonts w:ascii="宋体" w:hAnsi="宋体"/>
          <w:color w:val="auto"/>
          <w:szCs w:val="21"/>
        </w:rPr>
        <w:t>——</w:t>
      </w:r>
      <w:r>
        <w:rPr>
          <w:rFonts w:hint="eastAsia" w:ascii="宋体" w:hAnsi="宋体"/>
          <w:color w:val="auto"/>
          <w:szCs w:val="21"/>
        </w:rPr>
        <w:t>债务重组》的有关规定确定；非货币性资产交换取得，初始投资成本根据准则相关规定确定。</w:t>
      </w:r>
    </w:p>
    <w:p>
      <w:pPr>
        <w:spacing w:line="360" w:lineRule="auto"/>
        <w:ind w:firstLine="420" w:firstLineChars="200"/>
        <w:rPr>
          <w:rFonts w:ascii="宋体" w:hAnsi="宋体"/>
          <w:b/>
          <w:color w:val="auto"/>
        </w:rPr>
      </w:pPr>
      <w:r>
        <w:rPr>
          <w:rFonts w:hint="eastAsia" w:ascii="宋体" w:hAnsi="宋体"/>
          <w:b/>
          <w:color w:val="auto"/>
        </w:rPr>
        <w:t>2、后续计量及损益确认方法</w:t>
      </w:r>
    </w:p>
    <w:p>
      <w:pPr>
        <w:spacing w:line="360" w:lineRule="auto"/>
        <w:ind w:firstLine="420" w:firstLineChars="200"/>
        <w:rPr>
          <w:rFonts w:ascii="宋体" w:hAnsi="宋体"/>
          <w:color w:val="auto"/>
          <w:szCs w:val="21"/>
        </w:rPr>
      </w:pPr>
      <w:r>
        <w:rPr>
          <w:rFonts w:hint="eastAsia" w:ascii="宋体" w:hAnsi="宋体"/>
          <w:color w:val="auto"/>
          <w:szCs w:val="21"/>
        </w:rPr>
        <w:t>（1）成本法核算</w:t>
      </w:r>
    </w:p>
    <w:p>
      <w:pPr>
        <w:spacing w:line="360" w:lineRule="auto"/>
        <w:ind w:firstLine="420" w:firstLineChars="200"/>
        <w:rPr>
          <w:rFonts w:ascii="宋体" w:hAnsi="宋体"/>
          <w:color w:val="auto"/>
          <w:szCs w:val="21"/>
        </w:rPr>
      </w:pPr>
      <w:r>
        <w:rPr>
          <w:rFonts w:hint="eastAsia" w:ascii="宋体" w:hAnsi="宋体"/>
          <w:color w:val="auto"/>
          <w:szCs w:val="21"/>
        </w:rPr>
        <w:t>投资方能够对被投资单位实施控制的长期股权投资应当采用成本法核算。采用成本法核算的长期股权投资，除追加或收回投资外，账面价值一般不变。当宣告分派的利润或现金股利计算应分得的部分，确认投资收益。</w:t>
      </w:r>
    </w:p>
    <w:p>
      <w:pPr>
        <w:spacing w:line="360" w:lineRule="auto"/>
        <w:ind w:firstLine="420" w:firstLineChars="200"/>
        <w:rPr>
          <w:rFonts w:ascii="宋体" w:hAnsi="宋体"/>
          <w:color w:val="auto"/>
          <w:szCs w:val="21"/>
        </w:rPr>
      </w:pPr>
      <w:r>
        <w:rPr>
          <w:rFonts w:hint="eastAsia" w:ascii="宋体" w:hAnsi="宋体"/>
          <w:color w:val="auto"/>
          <w:szCs w:val="21"/>
        </w:rPr>
        <w:t>（2）权益法核算</w:t>
      </w:r>
    </w:p>
    <w:p>
      <w:pPr>
        <w:spacing w:line="360" w:lineRule="auto"/>
        <w:ind w:firstLine="420" w:firstLineChars="200"/>
        <w:rPr>
          <w:rFonts w:ascii="宋体" w:hAnsi="宋体"/>
          <w:color w:val="auto"/>
          <w:szCs w:val="21"/>
        </w:rPr>
      </w:pPr>
      <w:r>
        <w:rPr>
          <w:rFonts w:hint="eastAsia" w:ascii="宋体" w:hAnsi="宋体"/>
          <w:color w:val="auto"/>
          <w:szCs w:val="21"/>
        </w:rPr>
        <w:t xml:space="preserve">本公司对联营企业和合营企业的长期股权投资采用权益法核算。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 </w:t>
      </w:r>
    </w:p>
    <w:p>
      <w:pPr>
        <w:spacing w:line="360" w:lineRule="auto"/>
        <w:ind w:firstLine="420" w:firstLineChars="200"/>
        <w:rPr>
          <w:rFonts w:ascii="宋体" w:hAnsi="宋体"/>
          <w:color w:val="auto"/>
          <w:szCs w:val="21"/>
        </w:rPr>
      </w:pPr>
      <w:r>
        <w:rPr>
          <w:rFonts w:hint="eastAsia" w:ascii="宋体" w:hAnsi="宋体"/>
          <w:color w:val="auto"/>
          <w:szCs w:val="21"/>
        </w:rPr>
        <w:t xml:space="preserve">采用权益法核算时，本公司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本公司在确认应享有被投资单位净损益的份额时，以取得投资时被投资单位各项可辨认资产等的公允价值为基础，对被投资单位的净利润进行调整后确认。被投资单位采用的会计政策及会计期间与本公司不一致的，按照本公司的会计政策及会计期间对被投资单位的财务报表进行调整，并据以确认投资收益和其他综合收益。        </w:t>
      </w:r>
    </w:p>
    <w:p>
      <w:pPr>
        <w:spacing w:line="360" w:lineRule="auto"/>
        <w:ind w:firstLine="420" w:firstLineChars="200"/>
        <w:rPr>
          <w:rFonts w:ascii="宋体" w:hAnsi="宋体"/>
          <w:color w:val="auto"/>
          <w:szCs w:val="21"/>
        </w:rPr>
      </w:pPr>
      <w:r>
        <w:rPr>
          <w:rFonts w:hint="eastAsia" w:ascii="宋体" w:hAnsi="宋体"/>
          <w:color w:val="auto"/>
          <w:szCs w:val="21"/>
        </w:rPr>
        <w:t>本公司在确认应分担被投资单位发生的净亏损时，以长期股权投资的账面价值和其他实质上构成对被投资单位净投资的长期权益减记至零为限。此外，如本公司对被投资单位负有承担额外损失的义务，则按预计承担的义务确认预计负债，计入当期投资损失。被投资单位以后期间实现净利润的，本公司在收益分享额弥补未确认的亏损分担额后，恢复确认收益分享额。</w:t>
      </w:r>
    </w:p>
    <w:p>
      <w:pPr>
        <w:spacing w:line="360" w:lineRule="auto"/>
        <w:ind w:firstLine="420" w:firstLineChars="200"/>
        <w:rPr>
          <w:rFonts w:ascii="宋体" w:hAnsi="宋体"/>
          <w:b/>
          <w:color w:val="auto"/>
        </w:rPr>
      </w:pPr>
      <w:r>
        <w:rPr>
          <w:rFonts w:hint="eastAsia" w:ascii="宋体" w:hAnsi="宋体"/>
          <w:b/>
          <w:color w:val="auto"/>
        </w:rPr>
        <w:t>3、长期股权投资核算方法的转换</w:t>
      </w:r>
    </w:p>
    <w:p>
      <w:pPr>
        <w:spacing w:line="360" w:lineRule="auto"/>
        <w:ind w:firstLine="420" w:firstLineChars="200"/>
        <w:rPr>
          <w:rFonts w:ascii="宋体" w:hAnsi="宋体"/>
          <w:color w:val="auto"/>
          <w:szCs w:val="21"/>
        </w:rPr>
      </w:pPr>
      <w:r>
        <w:rPr>
          <w:rFonts w:hint="eastAsia" w:ascii="宋体" w:hAnsi="宋体"/>
          <w:color w:val="auto"/>
          <w:szCs w:val="21"/>
        </w:rPr>
        <w:t>（1）公允价值计量转权益法核算：原持有的对被投资单位的股权投资（不具有控制、共同控制或重大影响的），按照金融工具确认和计量准则进行会计处理的，因追加投资等原因导致持股比例上升，能够对被投资单位施加共同控制或重大影响的，在转按权益法核算时，投资方应当按照金融工具确认和计量准则确定的原股权投资的公允价值加上为取得新增投资而应支付对价的公允价值，作为改按权益法核算的初始投资成本。</w:t>
      </w:r>
    </w:p>
    <w:p>
      <w:pPr>
        <w:spacing w:line="360" w:lineRule="auto"/>
        <w:ind w:firstLine="420" w:firstLineChars="200"/>
        <w:rPr>
          <w:rFonts w:ascii="宋体" w:hAnsi="宋体"/>
          <w:color w:val="auto"/>
          <w:szCs w:val="21"/>
        </w:rPr>
      </w:pPr>
      <w:r>
        <w:rPr>
          <w:rFonts w:hint="eastAsia" w:ascii="宋体" w:hAnsi="宋体"/>
          <w:color w:val="auto"/>
          <w:szCs w:val="21"/>
        </w:rPr>
        <w:t>（2）公允价值计量或权益法核算转成本法核算：投资方原持有的对被投资单位不具有控制、共同控制或重大影响的按照金融工具确认和计量准则进行会计处理的权益性投资，或者原持有对联营企业、合营企业的长期股权投资，因追加投资等原因，能够对被投资单位实施控制的，按有关企业合并形成的长期股权投资进行会计处理。</w:t>
      </w:r>
    </w:p>
    <w:p>
      <w:pPr>
        <w:spacing w:line="360" w:lineRule="auto"/>
        <w:ind w:firstLine="420" w:firstLineChars="200"/>
        <w:rPr>
          <w:rFonts w:ascii="宋体" w:hAnsi="宋体"/>
          <w:color w:val="auto"/>
          <w:szCs w:val="21"/>
        </w:rPr>
      </w:pPr>
      <w:r>
        <w:rPr>
          <w:rFonts w:hint="eastAsia" w:ascii="宋体" w:hAnsi="宋体"/>
          <w:color w:val="auto"/>
          <w:szCs w:val="21"/>
        </w:rPr>
        <w:t>（3）权益法核算转公允价值计量：原持有的对被投资单位具有共同控制或重大影响的长期股权投资，因部分处置等原因导致持股比例下降，不能再对被投资单位实施共同控制或重大影响的，应改按金融工具确认和计量准则对剩余股权投资进行会计处理，其在丧失共同控制或重大影响之目的公允价值与账面价值之间的差额计入当期损益。</w:t>
      </w:r>
    </w:p>
    <w:p>
      <w:pPr>
        <w:spacing w:line="360" w:lineRule="auto"/>
        <w:ind w:firstLine="420" w:firstLineChars="200"/>
        <w:rPr>
          <w:rFonts w:ascii="宋体" w:hAnsi="宋体"/>
          <w:color w:val="auto"/>
          <w:szCs w:val="21"/>
        </w:rPr>
      </w:pPr>
      <w:r>
        <w:rPr>
          <w:rFonts w:hint="eastAsia" w:ascii="宋体" w:hAnsi="宋体"/>
          <w:color w:val="auto"/>
          <w:szCs w:val="21"/>
        </w:rPr>
        <w:t>（4）成本法转权益法</w:t>
      </w:r>
      <w:r>
        <w:rPr>
          <w:rFonts w:ascii="宋体" w:hAnsi="宋体"/>
          <w:color w:val="auto"/>
          <w:szCs w:val="21"/>
        </w:rPr>
        <w:t>或公允价值计量</w:t>
      </w:r>
      <w:r>
        <w:rPr>
          <w:rFonts w:hint="eastAsia" w:ascii="宋体" w:hAnsi="宋体"/>
          <w:color w:val="auto"/>
          <w:szCs w:val="21"/>
        </w:rPr>
        <w:t>：</w:t>
      </w:r>
      <w:r>
        <w:rPr>
          <w:rFonts w:ascii="宋体" w:hAnsi="宋体"/>
          <w:color w:val="auto"/>
          <w:szCs w:val="21"/>
        </w:rPr>
        <w:t>因处置部分权益性投资等原因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22号——金融工具确认和计量》的有关规定进行会计处理，其在丧失控制之日的公允价值与账面价值间的差额计入当期损益。在编制合并财务报表时，应当按照《企业会计准则第33号——合并财务报表》的有关规定进行会计处理。</w:t>
      </w:r>
    </w:p>
    <w:p>
      <w:pPr>
        <w:spacing w:line="360" w:lineRule="auto"/>
        <w:ind w:firstLine="420" w:firstLineChars="200"/>
        <w:rPr>
          <w:rFonts w:ascii="宋体" w:hAnsi="宋体"/>
          <w:b/>
          <w:color w:val="auto"/>
        </w:rPr>
      </w:pPr>
      <w:r>
        <w:rPr>
          <w:rFonts w:hint="eastAsia" w:ascii="宋体" w:hAnsi="宋体"/>
          <w:b/>
          <w:color w:val="auto"/>
        </w:rPr>
        <w:t>4、确定对被投资单位具有共同控制、重大影响的依据</w:t>
      </w:r>
    </w:p>
    <w:p>
      <w:pPr>
        <w:spacing w:line="360" w:lineRule="auto"/>
        <w:ind w:firstLine="420" w:firstLineChars="200"/>
        <w:rPr>
          <w:rFonts w:ascii="宋体" w:hAnsi="宋体"/>
          <w:color w:val="auto"/>
          <w:szCs w:val="21"/>
        </w:rPr>
      </w:pPr>
      <w:r>
        <w:rPr>
          <w:rFonts w:ascii="宋体" w:hAnsi="宋体"/>
          <w:color w:val="auto"/>
          <w:szCs w:val="21"/>
        </w:rPr>
        <w:t>共同控制，是指按照相关约定对某项安排所共有的控制，并且该安排的相关活动必须经过分享控制权的参与方一致同意后才能决策。如果所有参与方或一组参与方必须一致行动才能决定某项安排的相关活动，则认为所有参与方或一组参与方集体控制该安排。在判断是否存在共同控制时，首先判断是否由所有参与方或参与方组合集体控制该安排，其次再判断该安排相关活动的决策是否必须经过这些集体控制该安排的参与方一致同意。如果存在两个或两个以上的参与方组合能够集体控制某项安排的，不构成共同控制。判断是否存在共同控制时，不考虑享有的保护性权利。</w:t>
      </w:r>
    </w:p>
    <w:p>
      <w:pPr>
        <w:spacing w:line="360" w:lineRule="auto"/>
        <w:ind w:firstLine="420" w:firstLineChars="200"/>
        <w:rPr>
          <w:rFonts w:ascii="宋体" w:hAnsi="宋体"/>
          <w:color w:val="auto"/>
          <w:szCs w:val="21"/>
        </w:rPr>
      </w:pPr>
      <w:r>
        <w:rPr>
          <w:rFonts w:ascii="宋体" w:hAnsi="宋体"/>
          <w:color w:val="auto"/>
          <w:szCs w:val="21"/>
        </w:rPr>
        <w:t>重大影响，是指投资方对被投资单位的财务和经营政策有参与决策的权力，但并不能够控制或者与其他方一起共同控制这些政策的制定。本公司在确定能否对被投资单位施加重大影响时，考虑直接或间接持有被投资单位的表决权股份以及本公司及其他方持有的当期可执行潜在表决权在假定转换为对被投资方单位的股权后产生的影响，包括被投资单位发行的当期可转换的认股权证、股份期权及可转换公司债券等的影响。</w:t>
      </w:r>
    </w:p>
    <w:p>
      <w:pPr>
        <w:spacing w:line="360" w:lineRule="auto"/>
        <w:ind w:firstLine="420" w:firstLineChars="200"/>
        <w:rPr>
          <w:rFonts w:ascii="宋体" w:hAnsi="宋体"/>
          <w:color w:val="auto"/>
          <w:szCs w:val="21"/>
        </w:rPr>
      </w:pPr>
      <w:r>
        <w:rPr>
          <w:rFonts w:hint="eastAsia" w:ascii="宋体" w:hAnsi="宋体"/>
          <w:color w:val="auto"/>
          <w:szCs w:val="21"/>
        </w:rPr>
        <w:t>当本公司直接或通过子公司间接拥有被投资单位20%（含20%）以上但低于50%的表决权股份时，一般认为对被投资单位具有重大影响，除非有明确证据表明该种情况下不能参与被投资单位的生产经营决策，不形成重大影响。</w:t>
      </w:r>
    </w:p>
    <w:p>
      <w:pPr>
        <w:spacing w:line="360" w:lineRule="auto"/>
        <w:ind w:firstLine="420" w:firstLineChars="200"/>
        <w:rPr>
          <w:rFonts w:ascii="宋体" w:hAnsi="宋体"/>
          <w:color w:val="auto"/>
          <w:szCs w:val="21"/>
        </w:rPr>
      </w:pPr>
      <w:r>
        <w:rPr>
          <w:rFonts w:hint="eastAsia" w:ascii="宋体" w:hAnsi="宋体"/>
          <w:color w:val="auto"/>
          <w:szCs w:val="21"/>
        </w:rPr>
        <w:t>本公司通常通过以下一种或几种情形来判断是否对被投资单位具有重大影响：</w:t>
      </w:r>
    </w:p>
    <w:p>
      <w:pPr>
        <w:spacing w:line="360" w:lineRule="auto"/>
        <w:ind w:firstLine="420" w:firstLineChars="200"/>
        <w:rPr>
          <w:rFonts w:ascii="宋体" w:hAnsi="宋体"/>
          <w:color w:val="auto"/>
          <w:szCs w:val="21"/>
        </w:rPr>
      </w:pPr>
      <w:r>
        <w:rPr>
          <w:rFonts w:ascii="宋体" w:hAnsi="宋体"/>
          <w:color w:val="auto"/>
          <w:szCs w:val="21"/>
        </w:rPr>
        <w:fldChar w:fldCharType="begin"/>
      </w:r>
      <w:r>
        <w:rPr>
          <w:rFonts w:hint="eastAsia" w:ascii="宋体" w:hAnsi="宋体"/>
          <w:color w:val="auto"/>
          <w:szCs w:val="21"/>
        </w:rPr>
        <w:instrText xml:space="preserve">= 1 \* GB3</w:instrText>
      </w:r>
      <w:r>
        <w:rPr>
          <w:rFonts w:ascii="宋体" w:hAnsi="宋体"/>
          <w:color w:val="auto"/>
          <w:szCs w:val="21"/>
        </w:rPr>
        <w:fldChar w:fldCharType="separate"/>
      </w:r>
      <w:r>
        <w:rPr>
          <w:rFonts w:hint="eastAsia" w:ascii="宋体" w:hAnsi="宋体"/>
          <w:color w:val="auto"/>
          <w:szCs w:val="21"/>
        </w:rPr>
        <w:t>①</w:t>
      </w:r>
      <w:r>
        <w:rPr>
          <w:rFonts w:ascii="宋体" w:hAnsi="宋体"/>
          <w:color w:val="auto"/>
          <w:szCs w:val="21"/>
        </w:rPr>
        <w:fldChar w:fldCharType="end"/>
      </w:r>
      <w:r>
        <w:rPr>
          <w:rFonts w:hint="eastAsia" w:ascii="宋体" w:hAnsi="宋体"/>
          <w:color w:val="auto"/>
          <w:szCs w:val="21"/>
        </w:rPr>
        <w:t>在被投资单位的董事会或类似权力机构中派有代表。</w:t>
      </w:r>
    </w:p>
    <w:p>
      <w:pPr>
        <w:spacing w:line="360" w:lineRule="auto"/>
        <w:ind w:firstLine="420" w:firstLineChars="200"/>
        <w:rPr>
          <w:rFonts w:ascii="宋体" w:hAnsi="宋体"/>
          <w:color w:val="auto"/>
          <w:szCs w:val="21"/>
        </w:rPr>
      </w:pPr>
      <w:r>
        <w:rPr>
          <w:rFonts w:ascii="宋体" w:hAnsi="宋体"/>
          <w:color w:val="auto"/>
          <w:szCs w:val="21"/>
        </w:rPr>
        <w:fldChar w:fldCharType="begin"/>
      </w:r>
      <w:r>
        <w:rPr>
          <w:rFonts w:hint="eastAsia" w:ascii="宋体" w:hAnsi="宋体"/>
          <w:color w:val="auto"/>
          <w:szCs w:val="21"/>
        </w:rPr>
        <w:instrText xml:space="preserve">= 2 \* GB3</w:instrText>
      </w:r>
      <w:r>
        <w:rPr>
          <w:rFonts w:ascii="宋体" w:hAnsi="宋体"/>
          <w:color w:val="auto"/>
          <w:szCs w:val="21"/>
        </w:rPr>
        <w:fldChar w:fldCharType="separate"/>
      </w:r>
      <w:r>
        <w:rPr>
          <w:rFonts w:hint="eastAsia" w:ascii="宋体" w:hAnsi="宋体"/>
          <w:color w:val="auto"/>
          <w:szCs w:val="21"/>
        </w:rPr>
        <w:t>②</w:t>
      </w:r>
      <w:r>
        <w:rPr>
          <w:rFonts w:ascii="宋体" w:hAnsi="宋体"/>
          <w:color w:val="auto"/>
          <w:szCs w:val="21"/>
        </w:rPr>
        <w:fldChar w:fldCharType="end"/>
      </w:r>
      <w:r>
        <w:rPr>
          <w:rFonts w:hint="eastAsia" w:ascii="宋体" w:hAnsi="宋体"/>
          <w:color w:val="auto"/>
          <w:szCs w:val="21"/>
        </w:rPr>
        <w:t>参与被投资单位财务和经营政策制定过程。</w:t>
      </w:r>
    </w:p>
    <w:p>
      <w:pPr>
        <w:spacing w:line="360" w:lineRule="auto"/>
        <w:ind w:firstLine="420" w:firstLineChars="200"/>
        <w:rPr>
          <w:rFonts w:ascii="宋体" w:hAnsi="宋体"/>
          <w:color w:val="auto"/>
          <w:szCs w:val="21"/>
        </w:rPr>
      </w:pPr>
      <w:r>
        <w:rPr>
          <w:rFonts w:ascii="宋体" w:hAnsi="宋体"/>
          <w:color w:val="auto"/>
          <w:szCs w:val="21"/>
        </w:rPr>
        <w:fldChar w:fldCharType="begin"/>
      </w:r>
      <w:r>
        <w:rPr>
          <w:rFonts w:hint="eastAsia" w:ascii="宋体" w:hAnsi="宋体"/>
          <w:color w:val="auto"/>
          <w:szCs w:val="21"/>
        </w:rPr>
        <w:instrText xml:space="preserve">= 3 \* GB3</w:instrText>
      </w:r>
      <w:r>
        <w:rPr>
          <w:rFonts w:ascii="宋体" w:hAnsi="宋体"/>
          <w:color w:val="auto"/>
          <w:szCs w:val="21"/>
        </w:rPr>
        <w:fldChar w:fldCharType="separate"/>
      </w:r>
      <w:r>
        <w:rPr>
          <w:rFonts w:hint="eastAsia" w:ascii="宋体" w:hAnsi="宋体"/>
          <w:color w:val="auto"/>
          <w:szCs w:val="21"/>
        </w:rPr>
        <w:t>③</w:t>
      </w:r>
      <w:r>
        <w:rPr>
          <w:rFonts w:ascii="宋体" w:hAnsi="宋体"/>
          <w:color w:val="auto"/>
          <w:szCs w:val="21"/>
        </w:rPr>
        <w:fldChar w:fldCharType="end"/>
      </w:r>
      <w:r>
        <w:rPr>
          <w:rFonts w:hint="eastAsia" w:ascii="宋体" w:hAnsi="宋体"/>
          <w:color w:val="auto"/>
          <w:szCs w:val="21"/>
        </w:rPr>
        <w:t>与被投资单位之间发生重要交易。</w:t>
      </w:r>
    </w:p>
    <w:p>
      <w:pPr>
        <w:spacing w:line="360" w:lineRule="auto"/>
        <w:ind w:firstLine="420" w:firstLineChars="200"/>
        <w:rPr>
          <w:rFonts w:ascii="宋体" w:hAnsi="宋体"/>
          <w:color w:val="auto"/>
          <w:szCs w:val="21"/>
        </w:rPr>
      </w:pPr>
      <w:r>
        <w:rPr>
          <w:rFonts w:ascii="宋体" w:hAnsi="宋体"/>
          <w:color w:val="auto"/>
          <w:szCs w:val="21"/>
        </w:rPr>
        <w:fldChar w:fldCharType="begin"/>
      </w:r>
      <w:r>
        <w:rPr>
          <w:rFonts w:hint="eastAsia" w:ascii="宋体" w:hAnsi="宋体"/>
          <w:color w:val="auto"/>
          <w:szCs w:val="21"/>
        </w:rPr>
        <w:instrText xml:space="preserve">= 4 \* GB3</w:instrText>
      </w:r>
      <w:r>
        <w:rPr>
          <w:rFonts w:ascii="宋体" w:hAnsi="宋体"/>
          <w:color w:val="auto"/>
          <w:szCs w:val="21"/>
        </w:rPr>
        <w:fldChar w:fldCharType="separate"/>
      </w:r>
      <w:r>
        <w:rPr>
          <w:rFonts w:hint="eastAsia" w:ascii="宋体" w:hAnsi="宋体"/>
          <w:color w:val="auto"/>
          <w:szCs w:val="21"/>
        </w:rPr>
        <w:t>④</w:t>
      </w:r>
      <w:r>
        <w:rPr>
          <w:rFonts w:ascii="宋体" w:hAnsi="宋体"/>
          <w:color w:val="auto"/>
          <w:szCs w:val="21"/>
        </w:rPr>
        <w:fldChar w:fldCharType="end"/>
      </w:r>
      <w:r>
        <w:rPr>
          <w:rFonts w:hint="eastAsia" w:ascii="宋体" w:hAnsi="宋体"/>
          <w:color w:val="auto"/>
          <w:szCs w:val="21"/>
        </w:rPr>
        <w:t>向被投资单位派出管理人员。</w:t>
      </w:r>
    </w:p>
    <w:p>
      <w:pPr>
        <w:spacing w:line="360" w:lineRule="auto"/>
        <w:ind w:firstLine="420" w:firstLineChars="200"/>
        <w:rPr>
          <w:rFonts w:ascii="宋体" w:hAnsi="宋体"/>
          <w:color w:val="auto"/>
          <w:szCs w:val="21"/>
        </w:rPr>
      </w:pPr>
      <w:r>
        <w:rPr>
          <w:rFonts w:ascii="宋体" w:hAnsi="宋体"/>
          <w:color w:val="auto"/>
          <w:szCs w:val="21"/>
        </w:rPr>
        <w:fldChar w:fldCharType="begin"/>
      </w:r>
      <w:r>
        <w:rPr>
          <w:rFonts w:hint="eastAsia" w:ascii="宋体" w:hAnsi="宋体"/>
          <w:color w:val="auto"/>
          <w:szCs w:val="21"/>
        </w:rPr>
        <w:instrText xml:space="preserve">= 5 \* GB3</w:instrText>
      </w:r>
      <w:r>
        <w:rPr>
          <w:rFonts w:ascii="宋体" w:hAnsi="宋体"/>
          <w:color w:val="auto"/>
          <w:szCs w:val="21"/>
        </w:rPr>
        <w:fldChar w:fldCharType="separate"/>
      </w:r>
      <w:r>
        <w:rPr>
          <w:rFonts w:hint="eastAsia" w:ascii="宋体" w:hAnsi="宋体"/>
          <w:color w:val="auto"/>
          <w:szCs w:val="21"/>
        </w:rPr>
        <w:t>⑤</w:t>
      </w:r>
      <w:r>
        <w:rPr>
          <w:rFonts w:ascii="宋体" w:hAnsi="宋体"/>
          <w:color w:val="auto"/>
          <w:szCs w:val="21"/>
        </w:rPr>
        <w:fldChar w:fldCharType="end"/>
      </w:r>
      <w:r>
        <w:rPr>
          <w:rFonts w:hint="eastAsia" w:ascii="宋体" w:hAnsi="宋体"/>
          <w:color w:val="auto"/>
          <w:szCs w:val="21"/>
        </w:rPr>
        <w:t>向被投资单位提供关键技术资料。</w:t>
      </w:r>
    </w:p>
    <w:p>
      <w:pPr>
        <w:spacing w:line="360" w:lineRule="auto"/>
        <w:ind w:firstLine="420" w:firstLineChars="200"/>
        <w:rPr>
          <w:rFonts w:ascii="宋体" w:hAnsi="宋体"/>
          <w:color w:val="auto"/>
          <w:szCs w:val="21"/>
        </w:rPr>
      </w:pPr>
      <w:r>
        <w:rPr>
          <w:rFonts w:hint="eastAsia" w:ascii="宋体" w:hAnsi="宋体"/>
          <w:color w:val="auto"/>
          <w:szCs w:val="21"/>
        </w:rPr>
        <w:t>存在上述一种或多种情形并不意味着本公司一定对被投资单位具有重大影响，本公司需要综合考虑所有事实和情况来做出恰当的判断。</w:t>
      </w:r>
    </w:p>
    <w:p>
      <w:pPr>
        <w:spacing w:line="360" w:lineRule="auto"/>
        <w:ind w:firstLine="420" w:firstLineChars="200"/>
        <w:rPr>
          <w:rFonts w:ascii="宋体" w:hAnsi="宋体"/>
          <w:b/>
          <w:color w:val="auto"/>
        </w:rPr>
      </w:pPr>
      <w:r>
        <w:rPr>
          <w:rFonts w:hint="eastAsia" w:ascii="宋体" w:hAnsi="宋体"/>
          <w:b/>
          <w:color w:val="auto"/>
        </w:rPr>
        <w:t>5、减值测试方法及减值准备计提方法</w:t>
      </w:r>
    </w:p>
    <w:p>
      <w:pPr>
        <w:spacing w:line="360" w:lineRule="auto"/>
        <w:ind w:firstLine="420" w:firstLineChars="200"/>
        <w:rPr>
          <w:rFonts w:ascii="宋体" w:hAnsi="宋体"/>
          <w:color w:val="auto"/>
          <w:szCs w:val="21"/>
        </w:rPr>
      </w:pPr>
      <w:r>
        <w:rPr>
          <w:rFonts w:hint="eastAsia" w:ascii="宋体" w:hAnsi="宋体"/>
          <w:color w:val="auto"/>
          <w:szCs w:val="21"/>
        </w:rPr>
        <w:t>资产负债表日，本公司对长期股权投资检查是否存在可能发生减值的迹象，当存在减值迹象时应进行减值测试确认其可收回金额，按可收回金额低于账面价值部分计提减值准备，减值损失一经计提，在以后会计期间不再转回。</w:t>
      </w:r>
    </w:p>
    <w:p>
      <w:pPr>
        <w:spacing w:line="360" w:lineRule="auto"/>
        <w:ind w:firstLine="420" w:firstLineChars="200"/>
        <w:rPr>
          <w:rFonts w:ascii="宋体" w:hAnsi="宋体"/>
          <w:color w:val="auto"/>
          <w:szCs w:val="21"/>
        </w:rPr>
      </w:pPr>
      <w:r>
        <w:rPr>
          <w:rFonts w:hint="eastAsia" w:ascii="宋体" w:hAnsi="宋体"/>
          <w:color w:val="auto"/>
          <w:szCs w:val="21"/>
        </w:rPr>
        <w:t>可收回金额按照长期股权投资出售的公允价值净额与预计未来现金流量的现值之间孰高确定。</w:t>
      </w:r>
    </w:p>
    <w:p>
      <w:pPr>
        <w:spacing w:line="360" w:lineRule="auto"/>
        <w:ind w:firstLine="420" w:firstLineChars="200"/>
        <w:rPr>
          <w:rFonts w:ascii="宋体" w:hAnsi="宋体"/>
          <w:b/>
          <w:color w:val="auto"/>
        </w:rPr>
      </w:pPr>
      <w:r>
        <w:rPr>
          <w:rFonts w:hint="eastAsia" w:ascii="宋体" w:hAnsi="宋体"/>
          <w:b/>
          <w:color w:val="auto"/>
        </w:rPr>
        <w:t>6、长期股权投资处置</w:t>
      </w:r>
    </w:p>
    <w:p>
      <w:pPr>
        <w:spacing w:line="360" w:lineRule="auto"/>
        <w:ind w:firstLine="420" w:firstLineChars="200"/>
        <w:rPr>
          <w:rFonts w:ascii="宋体" w:hAnsi="宋体"/>
          <w:color w:val="auto"/>
          <w:szCs w:val="21"/>
        </w:rPr>
      </w:pPr>
      <w:r>
        <w:rPr>
          <w:rFonts w:hint="eastAsia" w:ascii="宋体" w:hAnsi="宋体"/>
          <w:color w:val="auto"/>
          <w:szCs w:val="21"/>
        </w:rPr>
        <w:t>处置长期股权投资时，其账面价值与实际取得价款之间的差额，应当计入当期损益。采用权益法核算的长期股权投资，在处置该项投资时，采用与被投资单位直接处置相关资产或负债相同的基础，按相应比例对原计入其他综合收益的部分进行会计处理。</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（二十）投资性房地产</w:t>
      </w:r>
    </w:p>
    <w:p>
      <w:pPr>
        <w:spacing w:line="360" w:lineRule="auto"/>
        <w:ind w:firstLine="420" w:firstLineChars="200"/>
        <w:rPr>
          <w:rFonts w:ascii="宋体" w:hAnsi="宋体"/>
          <w:b/>
          <w:color w:val="auto"/>
        </w:rPr>
      </w:pPr>
      <w:r>
        <w:rPr>
          <w:rFonts w:hint="eastAsia" w:ascii="宋体" w:hAnsi="宋体"/>
          <w:b/>
          <w:color w:val="auto"/>
        </w:rPr>
        <w:t>1、投资性房地产的种类和计量模式</w:t>
      </w:r>
    </w:p>
    <w:p>
      <w:pPr>
        <w:spacing w:line="360" w:lineRule="auto"/>
        <w:ind w:firstLine="420" w:firstLineChars="200"/>
        <w:rPr>
          <w:rFonts w:ascii="宋体" w:hAnsi="宋体"/>
          <w:color w:val="auto"/>
          <w:szCs w:val="21"/>
        </w:rPr>
      </w:pPr>
      <w:r>
        <w:rPr>
          <w:rFonts w:hint="eastAsia" w:ascii="宋体" w:hAnsi="宋体"/>
          <w:color w:val="auto"/>
          <w:szCs w:val="21"/>
        </w:rPr>
        <w:t>本公司投资性房地产的种类：出租的土地使用权、出租的建筑物、持有并准备增值后转让的土地使用权。</w:t>
      </w:r>
    </w:p>
    <w:p>
      <w:pPr>
        <w:spacing w:line="360" w:lineRule="auto"/>
        <w:ind w:firstLine="420" w:firstLineChars="200"/>
        <w:rPr>
          <w:rFonts w:ascii="宋体" w:hAnsi="宋体"/>
          <w:color w:val="auto"/>
          <w:szCs w:val="21"/>
        </w:rPr>
      </w:pPr>
      <w:r>
        <w:rPr>
          <w:rFonts w:hint="eastAsia" w:ascii="宋体" w:hAnsi="宋体"/>
          <w:color w:val="auto"/>
          <w:szCs w:val="21"/>
        </w:rPr>
        <w:t>本公司投资性房地产按照成本进行初始计量，采用成本模式进行后续计量。</w:t>
      </w:r>
    </w:p>
    <w:p>
      <w:pPr>
        <w:spacing w:line="360" w:lineRule="auto"/>
        <w:ind w:firstLine="420" w:firstLineChars="200"/>
        <w:rPr>
          <w:rFonts w:ascii="宋体" w:hAnsi="宋体"/>
          <w:b/>
          <w:color w:val="auto"/>
        </w:rPr>
      </w:pPr>
      <w:r>
        <w:rPr>
          <w:rFonts w:hint="eastAsia" w:ascii="宋体" w:hAnsi="宋体"/>
          <w:b/>
          <w:color w:val="auto"/>
        </w:rPr>
        <w:t>2、采用成本模式核算政策</w:t>
      </w:r>
    </w:p>
    <w:p>
      <w:pPr>
        <w:spacing w:line="360" w:lineRule="auto"/>
        <w:ind w:firstLine="420" w:firstLineChars="200"/>
        <w:rPr>
          <w:rFonts w:ascii="宋体" w:hAnsi="宋体"/>
          <w:color w:val="auto"/>
          <w:szCs w:val="21"/>
        </w:rPr>
      </w:pPr>
      <w:r>
        <w:rPr>
          <w:rFonts w:hint="eastAsia" w:ascii="宋体" w:hAnsi="宋体"/>
          <w:color w:val="auto"/>
          <w:szCs w:val="21"/>
        </w:rPr>
        <w:t>本公司投资性房地产中出租的建筑物采用年限平均法计提折旧，具体核算政策与固定资产部分相同。投资性房地产中出租的土地使用权、持有并准备增值后转让的土地使用权采用直线法摊销，具体核算政策与无形资产部分相同。</w:t>
      </w:r>
    </w:p>
    <w:p>
      <w:pPr>
        <w:spacing w:line="360" w:lineRule="auto"/>
        <w:ind w:firstLine="420" w:firstLineChars="200"/>
        <w:rPr>
          <w:rFonts w:ascii="宋体" w:hAnsi="宋体"/>
          <w:color w:val="auto"/>
          <w:szCs w:val="21"/>
        </w:rPr>
      </w:pPr>
      <w:r>
        <w:rPr>
          <w:rFonts w:hint="eastAsia" w:ascii="宋体" w:hAnsi="宋体"/>
          <w:color w:val="auto"/>
          <w:szCs w:val="21"/>
        </w:rPr>
        <w:t>资产负债表日，本公司对投资性房地产检查是否存在可能发生减值的迹象，当存在减值迹象时应进行减值测试确认其可收回金额，按可收回金额低于账面价值部分计提减值准备，减值损失一经计提，在以后会计期间不再转回。</w:t>
      </w:r>
    </w:p>
    <w:p>
      <w:pPr>
        <w:spacing w:line="360" w:lineRule="auto"/>
        <w:ind w:firstLine="420" w:firstLineChars="200"/>
        <w:rPr>
          <w:rFonts w:ascii="宋体" w:hAnsi="宋体"/>
          <w:color w:val="auto"/>
          <w:szCs w:val="21"/>
        </w:rPr>
      </w:pPr>
      <w:r>
        <w:rPr>
          <w:rFonts w:ascii="宋体" w:hAnsi="宋体"/>
          <w:color w:val="auto"/>
          <w:szCs w:val="21"/>
        </w:rPr>
        <w:t>本公司对于投资性房地产出售、转让、报废或毁损的处置收入扣除其账面价值和相关税费后的差额计入当期损益。本公司在有证据表明将自用的房屋及建筑物改用于出租或将持有的房地产开发产品以经营租赁的方式出租时，固定资产、无形资产或存货以转换前的账面价值转换为投资性房地产。本公司在有证据表明将原本用于赚取租金或资本增值的房屋及建筑物改为自用或将用于经营租出的房屋及建筑物重新用于对外销售的，投资性房地产以转换前的账面价值转换为固定资产、无形资产或存货。</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（二十一）固定资产</w:t>
      </w:r>
    </w:p>
    <w:p>
      <w:pPr>
        <w:spacing w:line="360" w:lineRule="auto"/>
        <w:ind w:firstLine="420" w:firstLineChars="200"/>
        <w:rPr>
          <w:rFonts w:ascii="宋体" w:hAnsi="宋体"/>
          <w:b/>
          <w:color w:val="auto"/>
        </w:rPr>
      </w:pPr>
      <w:r>
        <w:rPr>
          <w:rFonts w:ascii="宋体" w:hAnsi="宋体"/>
          <w:b/>
          <w:color w:val="auto"/>
        </w:rPr>
        <w:t>1</w:t>
      </w:r>
      <w:r>
        <w:rPr>
          <w:rFonts w:hint="eastAsia" w:ascii="宋体" w:hAnsi="宋体"/>
          <w:b/>
          <w:color w:val="auto"/>
        </w:rPr>
        <w:t>、固定资产确认条件</w:t>
      </w:r>
    </w:p>
    <w:p>
      <w:pPr>
        <w:spacing w:line="360" w:lineRule="auto"/>
        <w:ind w:firstLine="420" w:firstLineChars="200"/>
        <w:rPr>
          <w:rFonts w:ascii="宋体" w:hAnsi="宋体"/>
          <w:color w:val="auto"/>
          <w:szCs w:val="21"/>
        </w:rPr>
      </w:pPr>
      <w:r>
        <w:rPr>
          <w:rFonts w:hint="eastAsia" w:ascii="宋体" w:hAnsi="宋体"/>
          <w:color w:val="auto"/>
          <w:szCs w:val="21"/>
        </w:rPr>
        <w:t>公司的固定资产是指为生产商品、提供劳务、出租或经营管理而持有且使用寿命超过一个会计年度的有形资产。同时满足下列条件的，确认为固定资产：</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）与该固定资产有关的经济利益很可能流入企业；</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）该固定资产的成本能够可靠计量。</w:t>
      </w:r>
    </w:p>
    <w:p>
      <w:pPr>
        <w:spacing w:line="360" w:lineRule="auto"/>
        <w:ind w:firstLine="420" w:firstLineChars="200"/>
        <w:rPr>
          <w:rFonts w:ascii="宋体" w:hAnsi="宋体"/>
          <w:color w:val="auto"/>
          <w:szCs w:val="21"/>
        </w:rPr>
      </w:pPr>
      <w:r>
        <w:rPr>
          <w:rFonts w:hint="eastAsia" w:ascii="宋体" w:hAnsi="宋体"/>
          <w:color w:val="auto"/>
          <w:szCs w:val="21"/>
        </w:rPr>
        <w:t>与固定资产有关的后续支出，符合上述确认条件的，计入固定资产成本，并终止确认被替换部分的账面价值；否则，在发生时计入当期损益。</w:t>
      </w:r>
    </w:p>
    <w:p>
      <w:pPr>
        <w:spacing w:line="360" w:lineRule="auto"/>
        <w:ind w:firstLine="420" w:firstLineChars="200"/>
        <w:rPr>
          <w:rFonts w:ascii="宋体" w:hAnsi="宋体"/>
          <w:color w:val="auto"/>
          <w:szCs w:val="21"/>
        </w:rPr>
      </w:pPr>
      <w:r>
        <w:rPr>
          <w:rFonts w:hint="eastAsia" w:ascii="宋体" w:hAnsi="宋体"/>
          <w:color w:val="auto"/>
          <w:szCs w:val="21"/>
        </w:rPr>
        <w:t>固定资产按照成本进行初始计量。固定资产的成本一般包括购买价款、相关税费、以及为使固定资产达到预定可使用状态前所发生的可直接归属于该资产的其他支出，如运输费、安装费等。但购买的固定资产如果超过正常的信用条件延期支付，固定资产的成本以各期付款额的现值之和为基础确定。实际支付的价款与购买价款的现值之间的差额，除按照《企业会计准则第 17 号——借款费用》应予资本化的以外，在信用期内计入当期损益。</w:t>
      </w:r>
    </w:p>
    <w:p>
      <w:pPr>
        <w:spacing w:line="360" w:lineRule="auto"/>
        <w:ind w:firstLine="420" w:firstLineChars="200"/>
        <w:rPr>
          <w:rFonts w:ascii="宋体" w:hAnsi="宋体"/>
          <w:b/>
          <w:color w:val="auto"/>
        </w:rPr>
      </w:pPr>
      <w:r>
        <w:rPr>
          <w:rFonts w:hint="eastAsia" w:ascii="宋体" w:hAnsi="宋体"/>
          <w:b/>
          <w:color w:val="auto"/>
        </w:rPr>
        <w:t>2、固定资产分类和折旧方法</w:t>
      </w:r>
    </w:p>
    <w:p>
      <w:pPr>
        <w:spacing w:line="360" w:lineRule="auto"/>
        <w:ind w:firstLine="420" w:firstLineChars="200"/>
        <w:rPr>
          <w:rFonts w:ascii="宋体" w:hAnsi="宋体"/>
          <w:color w:val="auto"/>
          <w:szCs w:val="21"/>
        </w:rPr>
      </w:pPr>
      <w:r>
        <w:rPr>
          <w:rFonts w:hint="eastAsia" w:ascii="宋体" w:hAnsi="宋体"/>
          <w:color w:val="auto"/>
          <w:szCs w:val="21"/>
        </w:rPr>
        <w:t>本公司固定资产主要分为：房屋及建筑物、机器设备、运输工具、电子设备等。采用</w:t>
      </w:r>
      <w:r>
        <w:rPr>
          <w:rFonts w:ascii="宋体" w:hAnsi="宋体"/>
          <w:color w:val="auto"/>
          <w:szCs w:val="21"/>
        </w:rPr>
        <w:t>年限平均法</w:t>
      </w:r>
      <w:r>
        <w:rPr>
          <w:rFonts w:hint="eastAsia" w:ascii="宋体" w:hAnsi="宋体"/>
          <w:color w:val="auto"/>
          <w:szCs w:val="21"/>
        </w:rPr>
        <w:t>计提折旧，</w:t>
      </w:r>
      <w:r>
        <w:rPr>
          <w:rFonts w:ascii="宋体" w:hAnsi="宋体"/>
          <w:color w:val="auto"/>
          <w:szCs w:val="21"/>
        </w:rPr>
        <w:t>根据各类固定资产的性质和使用情况，确定固定资产的使用寿命和预计净残值。并在年度终了，对固定资产的使用寿命、预计净残值和折旧方法进行复核，如与原先估计数存在差异的，进行相应的调整。除已提足折旧仍继续使用的固定资产和单独计价入账的土地之外，本公司对所有固定资产计提折旧。</w:t>
      </w:r>
    </w:p>
    <w:p>
      <w:pPr>
        <w:spacing w:line="360" w:lineRule="auto"/>
        <w:ind w:firstLine="420" w:firstLineChars="200"/>
        <w:rPr>
          <w:rFonts w:ascii="宋体" w:hAnsi="宋体"/>
          <w:color w:val="auto"/>
          <w:szCs w:val="21"/>
        </w:rPr>
      </w:pPr>
      <w:r>
        <w:rPr>
          <w:rFonts w:hint="eastAsia" w:ascii="宋体" w:hAnsi="宋体"/>
          <w:color w:val="auto"/>
          <w:szCs w:val="21"/>
        </w:rPr>
        <w:t>本公司的固定资产类别、折旧方法、预计使用寿命、预计残值率、年折旧率如下：</w:t>
      </w:r>
    </w:p>
    <w:tbl>
      <w:tblPr>
        <w:tblStyle w:val="9"/>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2465"/>
        <w:gridCol w:w="2465"/>
        <w:gridCol w:w="2463"/>
        <w:gridCol w:w="246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251" w:type="pct"/>
            <w:tcBorders>
              <w:top w:val="single" w:color="000000" w:sz="12" w:space="0"/>
              <w:bottom w:val="single" w:color="000000" w:sz="12" w:space="0"/>
            </w:tcBorders>
            <w:vAlign w:val="center"/>
          </w:tcPr>
          <w:p>
            <w:pPr>
              <w:spacing w:line="360" w:lineRule="exact"/>
              <w:jc w:val="center"/>
              <w:rPr>
                <w:rFonts w:ascii="宋体" w:hAnsi="宋体"/>
                <w:b/>
                <w:color w:val="auto"/>
                <w:sz w:val="18"/>
                <w:szCs w:val="18"/>
              </w:rPr>
            </w:pPr>
            <w:r>
              <w:rPr>
                <w:rFonts w:hint="eastAsia" w:ascii="宋体" w:hAnsi="宋体" w:cs="宋体"/>
                <w:b/>
                <w:color w:val="auto"/>
                <w:sz w:val="18"/>
                <w:szCs w:val="18"/>
              </w:rPr>
              <w:t>固定资产类别</w:t>
            </w:r>
          </w:p>
        </w:tc>
        <w:tc>
          <w:tcPr>
            <w:tcW w:w="1251" w:type="pct"/>
            <w:tcBorders>
              <w:top w:val="single" w:color="000000" w:sz="12" w:space="0"/>
              <w:bottom w:val="single" w:color="000000" w:sz="12" w:space="0"/>
            </w:tcBorders>
          </w:tcPr>
          <w:p>
            <w:pPr>
              <w:spacing w:line="360" w:lineRule="exact"/>
              <w:jc w:val="center"/>
              <w:rPr>
                <w:rFonts w:ascii="宋体" w:hAnsi="宋体" w:cs="宋体"/>
                <w:b/>
                <w:color w:val="auto"/>
                <w:sz w:val="18"/>
                <w:szCs w:val="18"/>
              </w:rPr>
            </w:pPr>
            <w:r>
              <w:rPr>
                <w:rFonts w:hint="eastAsia" w:ascii="宋体" w:hAnsi="宋体" w:cs="宋体"/>
                <w:b/>
                <w:color w:val="auto"/>
                <w:sz w:val="18"/>
                <w:szCs w:val="18"/>
              </w:rPr>
              <w:t>残值率</w:t>
            </w:r>
          </w:p>
        </w:tc>
        <w:tc>
          <w:tcPr>
            <w:tcW w:w="1250" w:type="pct"/>
            <w:tcBorders>
              <w:top w:val="single" w:color="000000" w:sz="12" w:space="0"/>
              <w:bottom w:val="single" w:color="000000" w:sz="12" w:space="0"/>
            </w:tcBorders>
            <w:vAlign w:val="center"/>
          </w:tcPr>
          <w:p>
            <w:pPr>
              <w:spacing w:line="360" w:lineRule="exact"/>
              <w:jc w:val="center"/>
              <w:rPr>
                <w:rFonts w:ascii="宋体" w:hAnsi="宋体"/>
                <w:b/>
                <w:color w:val="auto"/>
                <w:sz w:val="18"/>
                <w:szCs w:val="18"/>
              </w:rPr>
            </w:pPr>
            <w:r>
              <w:rPr>
                <w:rFonts w:hint="eastAsia" w:ascii="宋体" w:hAnsi="宋体" w:cs="宋体"/>
                <w:b/>
                <w:color w:val="auto"/>
                <w:sz w:val="18"/>
                <w:szCs w:val="18"/>
              </w:rPr>
              <w:t>预计使用寿命（年）</w:t>
            </w:r>
          </w:p>
        </w:tc>
        <w:tc>
          <w:tcPr>
            <w:tcW w:w="1249" w:type="pct"/>
            <w:tcBorders>
              <w:top w:val="single" w:color="000000" w:sz="12" w:space="0"/>
              <w:bottom w:val="single" w:color="000000" w:sz="12" w:space="0"/>
            </w:tcBorders>
            <w:vAlign w:val="center"/>
          </w:tcPr>
          <w:p>
            <w:pPr>
              <w:spacing w:line="360" w:lineRule="exact"/>
              <w:jc w:val="center"/>
              <w:rPr>
                <w:rFonts w:ascii="宋体" w:hAnsi="宋体"/>
                <w:b/>
                <w:color w:val="auto"/>
                <w:sz w:val="18"/>
                <w:szCs w:val="18"/>
              </w:rPr>
            </w:pPr>
            <w:r>
              <w:rPr>
                <w:rFonts w:hint="eastAsia" w:ascii="宋体" w:hAnsi="宋体" w:cs="宋体"/>
                <w:b/>
                <w:color w:val="auto"/>
                <w:sz w:val="18"/>
                <w:szCs w:val="18"/>
              </w:rPr>
              <w:t>年折旧率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1251" w:type="pct"/>
            <w:tcBorders>
              <w:top w:val="single" w:color="000000" w:sz="12" w:space="0"/>
            </w:tcBorders>
            <w:vAlign w:val="bottom"/>
          </w:tcPr>
          <w:p>
            <w:pPr>
              <w:spacing w:line="360" w:lineRule="exact"/>
              <w:rPr>
                <w:rFonts w:ascii="宋体" w:hAnsi="宋体"/>
                <w:color w:val="auto"/>
                <w:sz w:val="18"/>
                <w:szCs w:val="18"/>
              </w:rPr>
            </w:pPr>
            <w:r>
              <w:rPr>
                <w:rFonts w:hint="eastAsia" w:ascii="宋体" w:hAnsi="宋体" w:cs="宋体"/>
                <w:color w:val="auto"/>
                <w:sz w:val="18"/>
                <w:szCs w:val="18"/>
              </w:rPr>
              <w:t>房屋及建筑物</w:t>
            </w:r>
          </w:p>
        </w:tc>
        <w:tc>
          <w:tcPr>
            <w:tcW w:w="1251" w:type="pct"/>
            <w:tcBorders>
              <w:top w:val="single" w:color="000000" w:sz="12" w:space="0"/>
            </w:tcBorders>
            <w:vAlign w:val="bottom"/>
          </w:tcPr>
          <w:p>
            <w:pPr>
              <w:spacing w:line="360" w:lineRule="exact"/>
              <w:jc w:val="center"/>
              <w:rPr>
                <w:rFonts w:ascii="宋体" w:hAnsi="宋体" w:cs="宋体"/>
                <w:color w:val="auto"/>
                <w:sz w:val="18"/>
                <w:szCs w:val="18"/>
              </w:rPr>
            </w:pPr>
            <w:r>
              <w:rPr>
                <w:rFonts w:hint="eastAsia" w:ascii="宋体" w:hAnsi="宋体" w:cs="宋体"/>
                <w:color w:val="auto"/>
                <w:sz w:val="18"/>
                <w:szCs w:val="18"/>
              </w:rPr>
              <w:t>5.00%</w:t>
            </w:r>
          </w:p>
        </w:tc>
        <w:tc>
          <w:tcPr>
            <w:tcW w:w="1250" w:type="pct"/>
            <w:tcBorders>
              <w:top w:val="single" w:color="000000" w:sz="12" w:space="0"/>
            </w:tcBorders>
            <w:vAlign w:val="bottom"/>
          </w:tcPr>
          <w:p>
            <w:pPr>
              <w:spacing w:line="360" w:lineRule="exact"/>
              <w:jc w:val="center"/>
              <w:rPr>
                <w:rFonts w:ascii="宋体" w:hAnsi="宋体"/>
                <w:color w:val="auto"/>
                <w:sz w:val="18"/>
                <w:szCs w:val="18"/>
              </w:rPr>
            </w:pPr>
            <w:r>
              <w:rPr>
                <w:rFonts w:ascii="宋体" w:hAnsi="宋体" w:cs="宋体"/>
                <w:color w:val="auto"/>
                <w:sz w:val="18"/>
                <w:szCs w:val="18"/>
              </w:rPr>
              <w:t>20</w:t>
            </w:r>
          </w:p>
        </w:tc>
        <w:tc>
          <w:tcPr>
            <w:tcW w:w="1249" w:type="pct"/>
            <w:tcBorders>
              <w:top w:val="single" w:color="000000" w:sz="12" w:space="0"/>
            </w:tcBorders>
            <w:vAlign w:val="bottom"/>
          </w:tcPr>
          <w:p>
            <w:pPr>
              <w:spacing w:line="360" w:lineRule="exact"/>
              <w:jc w:val="center"/>
              <w:rPr>
                <w:rFonts w:ascii="宋体" w:hAnsi="宋体"/>
                <w:color w:val="auto"/>
                <w:sz w:val="18"/>
                <w:szCs w:val="18"/>
              </w:rPr>
            </w:pPr>
            <w:r>
              <w:rPr>
                <w:rFonts w:ascii="宋体" w:hAnsi="宋体" w:cs="宋体"/>
                <w:color w:val="auto"/>
                <w:sz w:val="18"/>
                <w:szCs w:val="18"/>
              </w:rPr>
              <w:t>4.75%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1251" w:type="pct"/>
            <w:vAlign w:val="bottom"/>
          </w:tcPr>
          <w:p>
            <w:pPr>
              <w:spacing w:line="360" w:lineRule="exact"/>
              <w:rPr>
                <w:rFonts w:ascii="宋体" w:hAnsi="宋体"/>
                <w:color w:val="auto"/>
                <w:sz w:val="18"/>
                <w:szCs w:val="18"/>
              </w:rPr>
            </w:pPr>
            <w:r>
              <w:rPr>
                <w:rFonts w:hint="eastAsia" w:ascii="宋体" w:hAnsi="宋体" w:cs="宋体"/>
                <w:color w:val="auto"/>
                <w:sz w:val="18"/>
                <w:szCs w:val="18"/>
              </w:rPr>
              <w:t>机器设备</w:t>
            </w:r>
          </w:p>
        </w:tc>
        <w:tc>
          <w:tcPr>
            <w:tcW w:w="1251" w:type="pct"/>
            <w:vAlign w:val="bottom"/>
          </w:tcPr>
          <w:p>
            <w:pPr>
              <w:spacing w:line="360" w:lineRule="exact"/>
              <w:jc w:val="center"/>
              <w:rPr>
                <w:rFonts w:ascii="宋体" w:hAnsi="宋体" w:cs="宋体"/>
                <w:color w:val="auto"/>
                <w:sz w:val="18"/>
                <w:szCs w:val="18"/>
              </w:rPr>
            </w:pPr>
            <w:r>
              <w:rPr>
                <w:rFonts w:hint="eastAsia" w:ascii="宋体" w:hAnsi="宋体" w:cs="宋体"/>
                <w:color w:val="auto"/>
                <w:sz w:val="18"/>
                <w:szCs w:val="18"/>
              </w:rPr>
              <w:t>5.00%</w:t>
            </w:r>
          </w:p>
        </w:tc>
        <w:tc>
          <w:tcPr>
            <w:tcW w:w="1250" w:type="pct"/>
            <w:vAlign w:val="bottom"/>
          </w:tcPr>
          <w:p>
            <w:pPr>
              <w:spacing w:line="360" w:lineRule="exact"/>
              <w:jc w:val="center"/>
              <w:rPr>
                <w:rFonts w:ascii="宋体" w:hAnsi="宋体"/>
                <w:color w:val="auto"/>
                <w:sz w:val="18"/>
                <w:szCs w:val="18"/>
              </w:rPr>
            </w:pPr>
            <w:r>
              <w:rPr>
                <w:rFonts w:ascii="宋体" w:hAnsi="宋体" w:cs="宋体"/>
                <w:color w:val="auto"/>
                <w:sz w:val="18"/>
                <w:szCs w:val="18"/>
              </w:rPr>
              <w:t>5－15</w:t>
            </w:r>
          </w:p>
        </w:tc>
        <w:tc>
          <w:tcPr>
            <w:tcW w:w="1249" w:type="pct"/>
            <w:vAlign w:val="bottom"/>
          </w:tcPr>
          <w:p>
            <w:pPr>
              <w:spacing w:line="360" w:lineRule="exact"/>
              <w:jc w:val="center"/>
              <w:rPr>
                <w:rFonts w:ascii="宋体" w:hAnsi="宋体"/>
                <w:color w:val="auto"/>
                <w:sz w:val="18"/>
                <w:szCs w:val="18"/>
              </w:rPr>
            </w:pPr>
            <w:r>
              <w:rPr>
                <w:rFonts w:ascii="宋体" w:hAnsi="宋体" w:cs="宋体"/>
                <w:color w:val="auto"/>
                <w:sz w:val="18"/>
                <w:szCs w:val="18"/>
              </w:rPr>
              <w:t>6.33%—19.00%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251" w:type="pct"/>
            <w:vAlign w:val="bottom"/>
          </w:tcPr>
          <w:p>
            <w:pPr>
              <w:spacing w:line="360" w:lineRule="exact"/>
              <w:rPr>
                <w:rFonts w:ascii="宋体" w:hAnsi="宋体"/>
                <w:color w:val="auto"/>
                <w:sz w:val="18"/>
                <w:szCs w:val="18"/>
              </w:rPr>
            </w:pPr>
            <w:r>
              <w:rPr>
                <w:rFonts w:hint="eastAsia" w:ascii="宋体" w:hAnsi="宋体" w:cs="宋体"/>
                <w:color w:val="auto"/>
                <w:sz w:val="18"/>
                <w:szCs w:val="18"/>
              </w:rPr>
              <w:t>运输工具</w:t>
            </w:r>
          </w:p>
        </w:tc>
        <w:tc>
          <w:tcPr>
            <w:tcW w:w="1251" w:type="pct"/>
            <w:vAlign w:val="bottom"/>
          </w:tcPr>
          <w:p>
            <w:pPr>
              <w:spacing w:line="360" w:lineRule="exact"/>
              <w:jc w:val="center"/>
              <w:rPr>
                <w:rFonts w:ascii="宋体" w:hAnsi="宋体" w:cs="宋体"/>
                <w:color w:val="auto"/>
                <w:sz w:val="18"/>
                <w:szCs w:val="18"/>
              </w:rPr>
            </w:pPr>
            <w:r>
              <w:rPr>
                <w:rFonts w:hint="eastAsia" w:ascii="宋体" w:hAnsi="宋体" w:cs="宋体"/>
                <w:color w:val="auto"/>
                <w:sz w:val="18"/>
                <w:szCs w:val="18"/>
              </w:rPr>
              <w:t>5.00%</w:t>
            </w:r>
          </w:p>
        </w:tc>
        <w:tc>
          <w:tcPr>
            <w:tcW w:w="1250" w:type="pct"/>
            <w:vAlign w:val="bottom"/>
          </w:tcPr>
          <w:p>
            <w:pPr>
              <w:spacing w:line="360" w:lineRule="exact"/>
              <w:jc w:val="center"/>
              <w:rPr>
                <w:rFonts w:ascii="宋体" w:hAnsi="宋体"/>
                <w:color w:val="auto"/>
                <w:sz w:val="18"/>
                <w:szCs w:val="18"/>
              </w:rPr>
            </w:pPr>
            <w:r>
              <w:rPr>
                <w:rFonts w:ascii="宋体" w:hAnsi="宋体" w:cs="宋体"/>
                <w:color w:val="auto"/>
                <w:sz w:val="18"/>
                <w:szCs w:val="18"/>
              </w:rPr>
              <w:t>4—5</w:t>
            </w:r>
          </w:p>
        </w:tc>
        <w:tc>
          <w:tcPr>
            <w:tcW w:w="1249" w:type="pct"/>
            <w:vAlign w:val="bottom"/>
          </w:tcPr>
          <w:p>
            <w:pPr>
              <w:spacing w:line="360" w:lineRule="exact"/>
              <w:jc w:val="center"/>
              <w:rPr>
                <w:rFonts w:ascii="宋体" w:hAnsi="宋体"/>
                <w:color w:val="auto"/>
                <w:sz w:val="18"/>
                <w:szCs w:val="18"/>
              </w:rPr>
            </w:pPr>
            <w:r>
              <w:rPr>
                <w:rFonts w:ascii="宋体" w:hAnsi="宋体" w:cs="宋体"/>
                <w:color w:val="auto"/>
                <w:sz w:val="18"/>
                <w:szCs w:val="18"/>
              </w:rPr>
              <w:t>19.00%—23.75%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251" w:type="pct"/>
            <w:tcBorders>
              <w:bottom w:val="single" w:color="000000" w:sz="12" w:space="0"/>
            </w:tcBorders>
            <w:vAlign w:val="bottom"/>
          </w:tcPr>
          <w:p>
            <w:pPr>
              <w:spacing w:line="360" w:lineRule="exact"/>
              <w:rPr>
                <w:rFonts w:ascii="宋体" w:hAnsi="宋体"/>
                <w:color w:val="auto"/>
                <w:sz w:val="18"/>
                <w:szCs w:val="18"/>
              </w:rPr>
            </w:pPr>
            <w:r>
              <w:rPr>
                <w:rFonts w:hint="eastAsia" w:ascii="宋体" w:hAnsi="宋体" w:cs="宋体"/>
                <w:color w:val="auto"/>
                <w:sz w:val="18"/>
                <w:szCs w:val="18"/>
              </w:rPr>
              <w:t>电子设备及其他</w:t>
            </w:r>
          </w:p>
        </w:tc>
        <w:tc>
          <w:tcPr>
            <w:tcW w:w="1251" w:type="pct"/>
            <w:tcBorders>
              <w:bottom w:val="single" w:color="000000" w:sz="12" w:space="0"/>
            </w:tcBorders>
            <w:vAlign w:val="bottom"/>
          </w:tcPr>
          <w:p>
            <w:pPr>
              <w:spacing w:line="360" w:lineRule="exact"/>
              <w:jc w:val="center"/>
              <w:rPr>
                <w:rFonts w:ascii="宋体" w:hAnsi="宋体" w:cs="宋体"/>
                <w:color w:val="auto"/>
                <w:sz w:val="18"/>
                <w:szCs w:val="18"/>
              </w:rPr>
            </w:pPr>
            <w:r>
              <w:rPr>
                <w:rFonts w:hint="eastAsia" w:ascii="宋体" w:hAnsi="宋体" w:cs="宋体"/>
                <w:color w:val="auto"/>
                <w:sz w:val="18"/>
                <w:szCs w:val="18"/>
              </w:rPr>
              <w:t>5.00%</w:t>
            </w:r>
          </w:p>
        </w:tc>
        <w:tc>
          <w:tcPr>
            <w:tcW w:w="1250" w:type="pct"/>
            <w:tcBorders>
              <w:bottom w:val="single" w:color="000000" w:sz="12" w:space="0"/>
            </w:tcBorders>
            <w:vAlign w:val="bottom"/>
          </w:tcPr>
          <w:p>
            <w:pPr>
              <w:spacing w:line="360" w:lineRule="exact"/>
              <w:jc w:val="center"/>
              <w:rPr>
                <w:rFonts w:ascii="宋体" w:hAnsi="宋体"/>
                <w:color w:val="auto"/>
                <w:sz w:val="18"/>
                <w:szCs w:val="18"/>
              </w:rPr>
            </w:pPr>
            <w:r>
              <w:rPr>
                <w:rFonts w:ascii="宋体" w:hAnsi="宋体" w:cs="宋体"/>
                <w:color w:val="auto"/>
                <w:sz w:val="18"/>
                <w:szCs w:val="18"/>
              </w:rPr>
              <w:t>3—5</w:t>
            </w:r>
          </w:p>
        </w:tc>
        <w:tc>
          <w:tcPr>
            <w:tcW w:w="1249" w:type="pct"/>
            <w:tcBorders>
              <w:bottom w:val="single" w:color="000000" w:sz="12" w:space="0"/>
            </w:tcBorders>
            <w:vAlign w:val="bottom"/>
          </w:tcPr>
          <w:p>
            <w:pPr>
              <w:spacing w:line="360" w:lineRule="exact"/>
              <w:jc w:val="center"/>
              <w:rPr>
                <w:rFonts w:ascii="宋体" w:hAnsi="宋体"/>
                <w:color w:val="auto"/>
                <w:sz w:val="18"/>
                <w:szCs w:val="18"/>
              </w:rPr>
            </w:pPr>
            <w:r>
              <w:rPr>
                <w:rFonts w:ascii="宋体" w:hAnsi="宋体" w:cs="宋体"/>
                <w:color w:val="auto"/>
                <w:sz w:val="18"/>
                <w:szCs w:val="18"/>
              </w:rPr>
              <w:t>19.00%—31.67%</w:t>
            </w:r>
          </w:p>
        </w:tc>
      </w:tr>
    </w:tbl>
    <w:p>
      <w:pPr>
        <w:spacing w:line="360" w:lineRule="auto"/>
        <w:ind w:firstLine="420" w:firstLineChars="200"/>
        <w:rPr>
          <w:rFonts w:ascii="宋体" w:hAnsi="宋体"/>
          <w:b/>
          <w:color w:val="auto"/>
        </w:rPr>
      </w:pPr>
      <w:r>
        <w:rPr>
          <w:rFonts w:hint="eastAsia" w:ascii="宋体" w:hAnsi="宋体"/>
          <w:b/>
          <w:color w:val="auto"/>
        </w:rPr>
        <w:t>3、固定资产的减值测试方法、减值准备计提方法</w:t>
      </w:r>
    </w:p>
    <w:p>
      <w:pPr>
        <w:spacing w:line="360" w:lineRule="auto"/>
        <w:ind w:firstLine="420" w:firstLineChars="200"/>
        <w:rPr>
          <w:rFonts w:ascii="宋体" w:hAnsi="宋体"/>
          <w:color w:val="auto"/>
          <w:szCs w:val="21"/>
        </w:rPr>
      </w:pPr>
      <w:r>
        <w:rPr>
          <w:rFonts w:hint="eastAsia" w:ascii="宋体" w:hAnsi="宋体"/>
          <w:color w:val="auto"/>
          <w:szCs w:val="21"/>
        </w:rPr>
        <w:t>资产负债表日，本公司对固定资产检查是否存在可能发生减值的迹象，当存在减值迹象时应进行减值测试确认其可收回金额，按可收回金额低于账面价值部分计提减值准备，减值损失一经计提，在以后会计期间不再转回。</w:t>
      </w:r>
    </w:p>
    <w:p>
      <w:pPr>
        <w:spacing w:line="360" w:lineRule="auto"/>
        <w:ind w:firstLine="420" w:firstLineChars="200"/>
        <w:rPr>
          <w:rFonts w:ascii="宋体" w:hAnsi="宋体"/>
          <w:b/>
          <w:color w:val="auto"/>
        </w:rPr>
      </w:pPr>
      <w:r>
        <w:rPr>
          <w:rFonts w:hint="eastAsia" w:ascii="宋体" w:hAnsi="宋体"/>
          <w:b/>
          <w:color w:val="auto"/>
        </w:rPr>
        <w:t>4、固定资产处置</w:t>
      </w:r>
    </w:p>
    <w:p>
      <w:pPr>
        <w:spacing w:line="360" w:lineRule="auto"/>
        <w:ind w:firstLine="420" w:firstLineChars="200"/>
        <w:rPr>
          <w:rFonts w:ascii="宋体" w:hAnsi="宋体"/>
          <w:color w:val="auto"/>
          <w:szCs w:val="21"/>
        </w:rPr>
      </w:pPr>
      <w:r>
        <w:rPr>
          <w:rFonts w:hint="eastAsia" w:ascii="宋体" w:hAnsi="宋体"/>
          <w:color w:val="auto"/>
          <w:szCs w:val="21"/>
        </w:rPr>
        <w:t>当固定资产处置时或预期通过使用或处置不能产生经济利益时，终止确认该固定资产。固定资产出售、转让、报废或毁损的处置收入扣除其账面价值和相关税费后的差额计入当期损益。</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（二十二）在建工程</w:t>
      </w:r>
    </w:p>
    <w:p>
      <w:pPr>
        <w:spacing w:line="360" w:lineRule="auto"/>
        <w:ind w:firstLine="420" w:firstLineChars="200"/>
        <w:rPr>
          <w:rFonts w:ascii="宋体" w:hAnsi="宋体"/>
          <w:b/>
          <w:color w:val="auto"/>
        </w:rPr>
      </w:pPr>
      <w:r>
        <w:rPr>
          <w:rFonts w:hint="eastAsia" w:ascii="宋体" w:hAnsi="宋体"/>
          <w:b/>
          <w:color w:val="auto"/>
        </w:rPr>
        <w:t>1、在建工程的计量</w:t>
      </w:r>
    </w:p>
    <w:p>
      <w:pPr>
        <w:spacing w:line="360" w:lineRule="auto"/>
        <w:ind w:firstLine="420" w:firstLineChars="200"/>
        <w:rPr>
          <w:rFonts w:ascii="宋体" w:hAnsi="宋体"/>
          <w:color w:val="auto"/>
          <w:szCs w:val="21"/>
        </w:rPr>
      </w:pPr>
      <w:r>
        <w:rPr>
          <w:rFonts w:hint="eastAsia" w:ascii="宋体" w:hAnsi="宋体"/>
          <w:color w:val="auto"/>
          <w:szCs w:val="21"/>
        </w:rPr>
        <w:t>在建工程成本按实际工程支出确定﹐包括在建期间发生的各项必要工程支出、工程达到预定可使用状态前的应予资本化的借款费用以及其他相关费用等。</w:t>
      </w:r>
    </w:p>
    <w:p>
      <w:pPr>
        <w:spacing w:line="360" w:lineRule="auto"/>
        <w:ind w:firstLine="420" w:firstLineChars="200"/>
        <w:rPr>
          <w:rFonts w:ascii="宋体" w:hAnsi="宋体"/>
          <w:b/>
          <w:color w:val="auto"/>
        </w:rPr>
      </w:pPr>
      <w:r>
        <w:rPr>
          <w:rFonts w:hint="eastAsia" w:ascii="宋体" w:hAnsi="宋体"/>
          <w:b/>
          <w:color w:val="auto"/>
        </w:rPr>
        <w:t>2、在建工程结转固定资产的标准和时点</w:t>
      </w:r>
    </w:p>
    <w:p>
      <w:pPr>
        <w:spacing w:line="360" w:lineRule="auto"/>
        <w:ind w:firstLine="420" w:firstLineChars="200"/>
        <w:rPr>
          <w:rFonts w:ascii="宋体" w:hAnsi="宋体"/>
          <w:color w:val="auto"/>
          <w:szCs w:val="21"/>
        </w:rPr>
      </w:pPr>
      <w:r>
        <w:rPr>
          <w:rFonts w:hint="eastAsia" w:ascii="宋体" w:hAnsi="宋体"/>
          <w:color w:val="auto"/>
          <w:szCs w:val="21"/>
        </w:rPr>
        <w:t>本公司在建工程在工程完工达到预定可使用状态时，结转固定资产。预定可使用状态的判断标准，应符合下列情况之一：</w:t>
      </w:r>
    </w:p>
    <w:p>
      <w:pPr>
        <w:spacing w:line="360" w:lineRule="auto"/>
        <w:ind w:firstLine="420" w:firstLineChars="200"/>
        <w:rPr>
          <w:rFonts w:ascii="宋体" w:hAnsi="宋体"/>
          <w:color w:val="auto"/>
          <w:szCs w:val="21"/>
        </w:rPr>
      </w:pPr>
      <w:r>
        <w:rPr>
          <w:rFonts w:hint="eastAsia" w:ascii="宋体" w:hAnsi="宋体"/>
          <w:color w:val="auto"/>
          <w:szCs w:val="21"/>
        </w:rPr>
        <w:t>（1）固定资产的实体建造（包括安装）工作已经全部完成或实质上已经全部完成；</w:t>
      </w:r>
    </w:p>
    <w:p>
      <w:pPr>
        <w:spacing w:line="360" w:lineRule="auto"/>
        <w:ind w:firstLine="420" w:firstLineChars="200"/>
        <w:rPr>
          <w:rFonts w:ascii="宋体" w:hAnsi="宋体"/>
          <w:color w:val="auto"/>
          <w:szCs w:val="21"/>
        </w:rPr>
      </w:pPr>
      <w:r>
        <w:rPr>
          <w:rFonts w:hint="eastAsia" w:ascii="宋体" w:hAnsi="宋体"/>
          <w:color w:val="auto"/>
          <w:szCs w:val="21"/>
        </w:rPr>
        <w:t>（2）已经试生产或试运行，并且其结果表明资产能够正常运行或能够稳定地生产出合格产品，或者试运行结果表明其能够正常运转或营业；</w:t>
      </w:r>
    </w:p>
    <w:p>
      <w:pPr>
        <w:spacing w:line="360" w:lineRule="auto"/>
        <w:ind w:firstLine="420" w:firstLineChars="200"/>
        <w:rPr>
          <w:rFonts w:ascii="宋体" w:hAnsi="宋体"/>
          <w:color w:val="auto"/>
          <w:szCs w:val="21"/>
        </w:rPr>
      </w:pPr>
      <w:r>
        <w:rPr>
          <w:rFonts w:hint="eastAsia" w:ascii="宋体" w:hAnsi="宋体"/>
          <w:color w:val="auto"/>
          <w:szCs w:val="21"/>
        </w:rPr>
        <w:t>（3）该项建造的固定资产上的支出金额很少或者几乎不再发生；</w:t>
      </w:r>
    </w:p>
    <w:p>
      <w:pPr>
        <w:spacing w:line="360" w:lineRule="auto"/>
        <w:ind w:firstLine="420" w:firstLineChars="200"/>
        <w:rPr>
          <w:rFonts w:ascii="宋体" w:hAnsi="宋体"/>
          <w:color w:val="auto"/>
          <w:szCs w:val="21"/>
        </w:rPr>
      </w:pPr>
      <w:r>
        <w:rPr>
          <w:rFonts w:hint="eastAsia" w:ascii="宋体" w:hAnsi="宋体"/>
          <w:color w:val="auto"/>
          <w:szCs w:val="21"/>
        </w:rPr>
        <w:t>（4）所购建的固定资产已经达到设计或合同要求，或与设计或合同要求基本相符。</w:t>
      </w:r>
    </w:p>
    <w:p>
      <w:pPr>
        <w:spacing w:line="360" w:lineRule="auto"/>
        <w:ind w:firstLine="420" w:firstLineChars="200"/>
        <w:rPr>
          <w:rFonts w:ascii="宋体" w:hAnsi="宋体"/>
          <w:color w:val="auto"/>
          <w:szCs w:val="21"/>
        </w:rPr>
      </w:pPr>
      <w:r>
        <w:rPr>
          <w:rFonts w:hint="eastAsia" w:ascii="宋体" w:hAnsi="宋体"/>
          <w:color w:val="auto"/>
          <w:szCs w:val="21"/>
        </w:rPr>
        <w:t>本公司所建造工程已达到预定可使用状态，但尚未办理竣工决算的，自达到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p>
      <w:pPr>
        <w:spacing w:line="360" w:lineRule="auto"/>
        <w:ind w:firstLine="420" w:firstLineChars="200"/>
        <w:rPr>
          <w:rFonts w:ascii="宋体" w:hAnsi="宋体"/>
          <w:b/>
          <w:color w:val="auto"/>
        </w:rPr>
      </w:pPr>
      <w:r>
        <w:rPr>
          <w:rFonts w:hint="eastAsia" w:ascii="宋体" w:hAnsi="宋体"/>
          <w:b/>
          <w:color w:val="auto"/>
        </w:rPr>
        <w:t>3、在建工程减值测试方法、减值准备计提方法</w:t>
      </w:r>
    </w:p>
    <w:p>
      <w:pPr>
        <w:spacing w:line="360" w:lineRule="auto"/>
        <w:ind w:firstLine="420" w:firstLineChars="200"/>
        <w:rPr>
          <w:rFonts w:ascii="宋体" w:hAnsi="宋体"/>
          <w:color w:val="auto"/>
          <w:szCs w:val="21"/>
        </w:rPr>
      </w:pPr>
      <w:r>
        <w:rPr>
          <w:rFonts w:hint="eastAsia" w:ascii="宋体" w:hAnsi="宋体"/>
          <w:color w:val="auto"/>
          <w:szCs w:val="21"/>
        </w:rPr>
        <w:t>资产负债表日，本公司对在建工程检查是否存在可能发生减值的迹象，当存在减值迹象时应进行减值测试确认其可收回金额，按可收回金额低于账面价值部分计提减值准备，减值损失一经计提，在以后会计期间不再转回。</w:t>
      </w:r>
    </w:p>
    <w:p>
      <w:pPr>
        <w:spacing w:line="360" w:lineRule="auto"/>
        <w:ind w:firstLine="420" w:firstLineChars="200"/>
        <w:rPr>
          <w:rFonts w:ascii="宋体" w:hAnsi="宋体"/>
          <w:color w:val="auto"/>
          <w:szCs w:val="21"/>
        </w:rPr>
      </w:pPr>
      <w:r>
        <w:rPr>
          <w:rFonts w:hint="eastAsia" w:ascii="宋体" w:hAnsi="宋体"/>
          <w:color w:val="auto"/>
          <w:szCs w:val="21"/>
        </w:rPr>
        <w:t>在建工程可收回金额根据资产公允价值减去处置费用后的净额与资产预计未来现金流量的现值两者孰高确定。</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（二十三）借款费用</w:t>
      </w:r>
    </w:p>
    <w:p>
      <w:pPr>
        <w:spacing w:line="360" w:lineRule="auto"/>
        <w:ind w:firstLine="420" w:firstLineChars="200"/>
        <w:rPr>
          <w:rFonts w:ascii="宋体" w:hAnsi="宋体"/>
          <w:b/>
          <w:color w:val="auto"/>
        </w:rPr>
      </w:pPr>
      <w:r>
        <w:rPr>
          <w:rFonts w:hint="eastAsia" w:ascii="宋体" w:hAnsi="宋体"/>
          <w:b/>
          <w:color w:val="auto"/>
        </w:rPr>
        <w:t>1、借款费用资本化的确认原则</w:t>
      </w:r>
    </w:p>
    <w:p>
      <w:pPr>
        <w:spacing w:line="360" w:lineRule="auto"/>
        <w:ind w:firstLine="420" w:firstLineChars="200"/>
        <w:rPr>
          <w:rFonts w:ascii="宋体" w:hAnsi="宋体"/>
          <w:color w:val="auto"/>
          <w:szCs w:val="21"/>
        </w:rPr>
      </w:pPr>
      <w:r>
        <w:rPr>
          <w:rFonts w:hint="eastAsia" w:ascii="宋体" w:hAnsi="宋体"/>
          <w:color w:val="auto"/>
          <w:szCs w:val="21"/>
        </w:rPr>
        <w:t>借款费用包括借款利息、折价或者溢价的摊销、辅助费用以及因外币借款而发生的汇兑差额等。公司发生的借款费用，可直接归属于符合资本化条件的资产的购建，予以资本化，计入相关资产成本；其他借款费用，在发生时根据其发生额确认为费用，计入当期损益。符合资本化条件的资产，是指需要经过相当长时间的购建或者生产活动才能达到预定可使用或者可销售状态的固定资产、投资性房地产和存货等资产。</w:t>
      </w:r>
    </w:p>
    <w:p>
      <w:pPr>
        <w:spacing w:line="360" w:lineRule="auto"/>
        <w:ind w:firstLine="420" w:firstLineChars="200"/>
        <w:rPr>
          <w:rFonts w:ascii="宋体" w:hAnsi="宋体"/>
          <w:b/>
          <w:color w:val="auto"/>
        </w:rPr>
      </w:pPr>
      <w:r>
        <w:rPr>
          <w:rFonts w:hint="eastAsia" w:ascii="宋体" w:hAnsi="宋体"/>
          <w:b/>
          <w:color w:val="auto"/>
        </w:rPr>
        <w:t>2、资本化金额的计算方法</w:t>
      </w:r>
    </w:p>
    <w:p>
      <w:pPr>
        <w:spacing w:line="360" w:lineRule="auto"/>
        <w:ind w:firstLine="420" w:firstLineChars="200"/>
        <w:rPr>
          <w:rFonts w:ascii="宋体" w:hAnsi="宋体"/>
          <w:color w:val="auto"/>
          <w:szCs w:val="21"/>
        </w:rPr>
      </w:pPr>
      <w:r>
        <w:rPr>
          <w:rFonts w:hint="eastAsia" w:ascii="宋体" w:hAnsi="宋体"/>
          <w:color w:val="auto"/>
          <w:szCs w:val="21"/>
        </w:rPr>
        <w:t>资本化期间：指从借款费用开始资本化时点到停止资本化时点的期间。借款费用暂停资本化的期间不包括在内。</w:t>
      </w:r>
    </w:p>
    <w:p>
      <w:pPr>
        <w:spacing w:line="360" w:lineRule="auto"/>
        <w:ind w:firstLine="420" w:firstLineChars="200"/>
        <w:rPr>
          <w:rFonts w:ascii="宋体" w:hAnsi="宋体"/>
          <w:color w:val="auto"/>
          <w:szCs w:val="21"/>
        </w:rPr>
      </w:pPr>
      <w:r>
        <w:rPr>
          <w:rFonts w:hint="eastAsia" w:ascii="宋体" w:hAnsi="宋体"/>
          <w:color w:val="auto"/>
          <w:szCs w:val="21"/>
        </w:rPr>
        <w:t>本公司借款费用同时满足下列条件时开始资本化：（1）资产支出已经发生，资产支出包括为购建或者生产符合资本化条件的资产而以支付现金、转移非现金资产或者承担带息债务形式发生的支出；（2）借款费用已经发生；（3）为使资产达到预定可使用或者可销售状态所必要的购建或者生产活动已经开始。</w:t>
      </w:r>
    </w:p>
    <w:p>
      <w:pPr>
        <w:spacing w:line="360" w:lineRule="auto"/>
        <w:ind w:firstLine="420" w:firstLineChars="200"/>
        <w:rPr>
          <w:rFonts w:ascii="宋体" w:hAnsi="宋体"/>
          <w:color w:val="auto"/>
          <w:szCs w:val="21"/>
        </w:rPr>
      </w:pPr>
      <w:r>
        <w:rPr>
          <w:rFonts w:hint="eastAsia" w:ascii="宋体" w:hAnsi="宋体"/>
          <w:color w:val="auto"/>
          <w:szCs w:val="21"/>
        </w:rPr>
        <w:t>当购建或者生产符合资本化条件的资产达到预定可使用或者可销售状态时，本公司借款费用停止资本化。</w:t>
      </w:r>
    </w:p>
    <w:p>
      <w:pPr>
        <w:spacing w:line="360" w:lineRule="auto"/>
        <w:ind w:firstLine="420" w:firstLineChars="200"/>
        <w:rPr>
          <w:rFonts w:ascii="宋体" w:hAnsi="宋体"/>
          <w:color w:val="auto"/>
          <w:szCs w:val="21"/>
        </w:rPr>
      </w:pPr>
      <w:r>
        <w:rPr>
          <w:rFonts w:hint="eastAsia" w:ascii="宋体" w:hAnsi="宋体"/>
          <w:color w:val="auto"/>
          <w:szCs w:val="21"/>
        </w:rPr>
        <w:t>暂停资本化期间：在购建或生产过程中发生非正常中断、且中断时间连续超过3个月的，本公司暂停借款费用的资本化。</w:t>
      </w:r>
    </w:p>
    <w:p>
      <w:pPr>
        <w:spacing w:line="360" w:lineRule="auto"/>
        <w:ind w:firstLine="420" w:firstLineChars="200"/>
        <w:rPr>
          <w:rFonts w:ascii="宋体" w:hAnsi="宋体"/>
          <w:color w:val="auto"/>
          <w:szCs w:val="21"/>
        </w:rPr>
      </w:pPr>
      <w:r>
        <w:rPr>
          <w:rFonts w:hint="eastAsia" w:ascii="宋体" w:hAnsi="宋体"/>
          <w:color w:val="auto"/>
          <w:szCs w:val="21"/>
        </w:rPr>
        <w:t>本公司资本化金额计算：（1）借入专门借款，按照专门借款当期实际发生的利息费用，减去将尚未动用的借款资金存入银行取得的利息收入或进行暂时性投资取得的投资收益后的金额确定；（2）占用一般借款按照累计资产支出超过专门借款部分的资产支出加权平均数乘以所占用一般借款的资本化率计算确定，资本化率为一般借款的加权平均利率；（3）借款存在折价或溢价的，按照实际利率法确定每一会计期间应摊销的折价或溢价金额，调整每期利息金额。</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（二十四）</w:t>
      </w:r>
      <w:r>
        <w:rPr>
          <w:rFonts w:ascii="宋体" w:hAnsi="宋体"/>
          <w:b/>
          <w:color w:val="auto"/>
          <w:sz w:val="24"/>
          <w:szCs w:val="24"/>
        </w:rPr>
        <w:t>使用权资产</w:t>
      </w:r>
    </w:p>
    <w:p>
      <w:pPr>
        <w:spacing w:line="360" w:lineRule="auto"/>
        <w:ind w:firstLine="420" w:firstLineChars="200"/>
        <w:rPr>
          <w:rFonts w:ascii="宋体" w:hAnsi="宋体"/>
          <w:color w:val="auto"/>
          <w:szCs w:val="21"/>
        </w:rPr>
      </w:pPr>
      <w:r>
        <w:rPr>
          <w:rFonts w:ascii="宋体" w:hAnsi="宋体"/>
          <w:color w:val="auto"/>
          <w:szCs w:val="21"/>
        </w:rPr>
        <w:t>使用权资产，是指</w:t>
      </w:r>
      <w:r>
        <w:rPr>
          <w:rFonts w:hint="eastAsia" w:ascii="宋体" w:hAnsi="宋体"/>
          <w:color w:val="auto"/>
          <w:szCs w:val="21"/>
        </w:rPr>
        <w:t>本</w:t>
      </w:r>
      <w:r>
        <w:rPr>
          <w:rFonts w:ascii="宋体" w:hAnsi="宋体"/>
          <w:color w:val="auto"/>
          <w:szCs w:val="21"/>
        </w:rPr>
        <w:t>公司作为承租人可在租赁期内使用租赁资产的权利。在租赁期开始日，</w:t>
      </w:r>
      <w:r>
        <w:rPr>
          <w:rFonts w:hint="eastAsia" w:ascii="宋体" w:hAnsi="宋体"/>
          <w:color w:val="auto"/>
          <w:szCs w:val="21"/>
        </w:rPr>
        <w:t>本</w:t>
      </w:r>
      <w:r>
        <w:rPr>
          <w:rFonts w:ascii="宋体" w:hAnsi="宋体"/>
          <w:color w:val="auto"/>
          <w:szCs w:val="21"/>
        </w:rPr>
        <w:t>公司作为承租人应当对租赁确认使用权资产和租赁负债，但简化处理的短期租赁和低价值资产租赁除外。租赁期开始日，是指出租人提供租赁资产使其可供承租人使用的起始日期。</w:t>
      </w:r>
    </w:p>
    <w:p>
      <w:pPr>
        <w:spacing w:line="360" w:lineRule="auto"/>
        <w:ind w:firstLine="420" w:firstLineChars="200"/>
        <w:rPr>
          <w:rFonts w:ascii="宋体" w:hAnsi="宋体"/>
          <w:color w:val="auto"/>
          <w:szCs w:val="21"/>
        </w:rPr>
      </w:pPr>
      <w:r>
        <w:rPr>
          <w:rFonts w:hint="eastAsia" w:ascii="宋体" w:hAnsi="宋体"/>
          <w:color w:val="auto"/>
          <w:szCs w:val="21"/>
        </w:rPr>
        <w:t>本</w:t>
      </w:r>
      <w:r>
        <w:rPr>
          <w:rFonts w:ascii="宋体" w:hAnsi="宋体"/>
          <w:color w:val="auto"/>
          <w:szCs w:val="21"/>
        </w:rPr>
        <w:t>公司的使用权资产按照成本进行初始计量</w:t>
      </w:r>
      <w:r>
        <w:rPr>
          <w:rFonts w:hint="eastAsia" w:ascii="宋体" w:hAnsi="宋体"/>
          <w:color w:val="auto"/>
          <w:szCs w:val="21"/>
        </w:rPr>
        <w:t>，</w:t>
      </w:r>
      <w:r>
        <w:rPr>
          <w:rFonts w:ascii="宋体" w:hAnsi="宋体"/>
          <w:color w:val="auto"/>
          <w:szCs w:val="21"/>
        </w:rPr>
        <w:t>该成本包括：</w:t>
      </w:r>
    </w:p>
    <w:p>
      <w:pPr>
        <w:spacing w:line="360" w:lineRule="auto"/>
        <w:ind w:firstLine="420" w:firstLineChars="200"/>
        <w:rPr>
          <w:rFonts w:ascii="宋体" w:hAnsi="宋体"/>
          <w:color w:val="auto"/>
          <w:szCs w:val="21"/>
        </w:rPr>
      </w:pPr>
      <w:bookmarkStart w:id="25" w:name="F45929137"/>
      <w:r>
        <w:rPr>
          <w:rFonts w:ascii="宋体" w:hAnsi="宋体"/>
          <w:color w:val="auto"/>
          <w:szCs w:val="21"/>
        </w:rPr>
        <w:t>（1）租赁负债的初始计量金额；</w:t>
      </w:r>
      <w:bookmarkEnd w:id="25"/>
    </w:p>
    <w:p>
      <w:pPr>
        <w:spacing w:line="360" w:lineRule="auto"/>
        <w:ind w:firstLine="420" w:firstLineChars="200"/>
        <w:rPr>
          <w:rFonts w:ascii="宋体" w:hAnsi="宋体"/>
          <w:color w:val="auto"/>
          <w:szCs w:val="21"/>
        </w:rPr>
      </w:pPr>
      <w:bookmarkStart w:id="26" w:name="F45929139"/>
      <w:r>
        <w:rPr>
          <w:rFonts w:ascii="宋体" w:hAnsi="宋体"/>
          <w:color w:val="auto"/>
          <w:szCs w:val="21"/>
        </w:rPr>
        <w:t>（2）在租赁期开始日或之前支付的租赁付款额，存在租赁激励的，扣除已享受的租赁激励相关金额；</w:t>
      </w:r>
      <w:bookmarkEnd w:id="26"/>
    </w:p>
    <w:p>
      <w:pPr>
        <w:spacing w:line="360" w:lineRule="auto"/>
        <w:ind w:firstLine="420" w:firstLineChars="200"/>
        <w:rPr>
          <w:rFonts w:ascii="宋体" w:hAnsi="宋体"/>
          <w:color w:val="auto"/>
          <w:szCs w:val="21"/>
        </w:rPr>
      </w:pPr>
      <w:bookmarkStart w:id="27" w:name="F45929142"/>
      <w:r>
        <w:rPr>
          <w:rFonts w:ascii="宋体" w:hAnsi="宋体"/>
          <w:color w:val="auto"/>
          <w:szCs w:val="21"/>
        </w:rPr>
        <w:t>（3）</w:t>
      </w:r>
      <w:r>
        <w:rPr>
          <w:rFonts w:hint="eastAsia" w:ascii="宋体" w:hAnsi="宋体"/>
          <w:color w:val="auto"/>
          <w:szCs w:val="21"/>
        </w:rPr>
        <w:t>本公司作为</w:t>
      </w:r>
      <w:r>
        <w:rPr>
          <w:rFonts w:ascii="宋体" w:hAnsi="宋体"/>
          <w:color w:val="auto"/>
          <w:szCs w:val="21"/>
        </w:rPr>
        <w:t>承租人发生的初始直接费用；</w:t>
      </w:r>
      <w:bookmarkEnd w:id="27"/>
    </w:p>
    <w:p>
      <w:pPr>
        <w:spacing w:line="360" w:lineRule="auto"/>
        <w:ind w:firstLine="420" w:firstLineChars="200"/>
        <w:rPr>
          <w:rFonts w:ascii="宋体" w:hAnsi="宋体"/>
          <w:color w:val="auto"/>
          <w:szCs w:val="21"/>
        </w:rPr>
      </w:pPr>
      <w:bookmarkStart w:id="28" w:name="F45929145"/>
      <w:r>
        <w:rPr>
          <w:rFonts w:ascii="宋体" w:hAnsi="宋体"/>
          <w:color w:val="auto"/>
          <w:szCs w:val="21"/>
        </w:rPr>
        <w:t>（4）</w:t>
      </w:r>
      <w:r>
        <w:rPr>
          <w:rFonts w:hint="eastAsia" w:ascii="宋体" w:hAnsi="宋体"/>
          <w:color w:val="auto"/>
          <w:szCs w:val="21"/>
        </w:rPr>
        <w:t>本</w:t>
      </w:r>
      <w:r>
        <w:rPr>
          <w:rFonts w:ascii="宋体" w:hAnsi="宋体"/>
          <w:color w:val="auto"/>
          <w:szCs w:val="21"/>
        </w:rPr>
        <w:t>公司为拆卸及移除租赁资产、复原租赁资产所在场地或将租赁资产恢复至租赁条款约定状态预计将发生的成本。</w:t>
      </w:r>
      <w:bookmarkEnd w:id="28"/>
    </w:p>
    <w:p>
      <w:pPr>
        <w:spacing w:line="360" w:lineRule="auto"/>
        <w:ind w:firstLine="420" w:firstLineChars="200"/>
        <w:rPr>
          <w:rFonts w:ascii="宋体" w:hAnsi="宋体"/>
          <w:color w:val="auto"/>
          <w:szCs w:val="21"/>
        </w:rPr>
      </w:pPr>
      <w:r>
        <w:rPr>
          <w:rFonts w:hint="eastAsia" w:ascii="宋体" w:hAnsi="宋体"/>
          <w:color w:val="auto"/>
          <w:szCs w:val="21"/>
        </w:rPr>
        <w:t>本</w:t>
      </w:r>
      <w:r>
        <w:rPr>
          <w:rFonts w:ascii="宋体" w:hAnsi="宋体"/>
          <w:color w:val="auto"/>
          <w:szCs w:val="21"/>
        </w:rPr>
        <w:t>公司</w:t>
      </w:r>
      <w:r>
        <w:rPr>
          <w:rFonts w:hint="eastAsia" w:ascii="宋体" w:hAnsi="宋体"/>
          <w:color w:val="auto"/>
          <w:szCs w:val="21"/>
        </w:rPr>
        <w:t>采用平均年限法对使用权资产计提折旧</w:t>
      </w:r>
      <w:r>
        <w:rPr>
          <w:rFonts w:ascii="宋体" w:hAnsi="宋体"/>
          <w:color w:val="auto"/>
          <w:szCs w:val="21"/>
        </w:rPr>
        <w:t>。</w:t>
      </w:r>
      <w:r>
        <w:rPr>
          <w:rFonts w:hint="eastAsia" w:ascii="宋体" w:hAnsi="宋体"/>
          <w:color w:val="auto"/>
          <w:szCs w:val="21"/>
        </w:rPr>
        <w:t>本</w:t>
      </w:r>
      <w:r>
        <w:rPr>
          <w:rFonts w:ascii="宋体" w:hAnsi="宋体"/>
          <w:color w:val="auto"/>
          <w:szCs w:val="21"/>
        </w:rPr>
        <w:t>公司能够合理确定租赁期届满时取得租赁资产所有权的，在租赁资产剩余使用寿命内计提折旧。无法合理确定租赁期届满时能够取得租赁资产所有权的，</w:t>
      </w:r>
      <w:r>
        <w:rPr>
          <w:rFonts w:hint="eastAsia" w:ascii="宋体" w:hAnsi="宋体"/>
          <w:color w:val="auto"/>
          <w:szCs w:val="21"/>
        </w:rPr>
        <w:t>本</w:t>
      </w:r>
      <w:r>
        <w:rPr>
          <w:rFonts w:ascii="宋体" w:hAnsi="宋体"/>
          <w:color w:val="auto"/>
          <w:szCs w:val="21"/>
        </w:rPr>
        <w:t>公司在租赁期与租赁资产剩余使用寿命两者孰短的期间内计提折旧。</w:t>
      </w:r>
    </w:p>
    <w:p>
      <w:pPr>
        <w:spacing w:line="360" w:lineRule="auto"/>
        <w:ind w:firstLine="420" w:firstLineChars="200"/>
        <w:rPr>
          <w:rFonts w:ascii="宋体" w:hAnsi="宋体"/>
          <w:color w:val="auto"/>
          <w:szCs w:val="21"/>
        </w:rPr>
      </w:pPr>
      <w:r>
        <w:rPr>
          <w:rFonts w:hint="eastAsia" w:ascii="宋体" w:hAnsi="宋体"/>
          <w:color w:val="auto"/>
          <w:szCs w:val="21"/>
        </w:rPr>
        <w:t>本</w:t>
      </w:r>
      <w:r>
        <w:rPr>
          <w:rFonts w:ascii="宋体" w:hAnsi="宋体"/>
          <w:color w:val="auto"/>
          <w:szCs w:val="21"/>
        </w:rPr>
        <w:t>公司按照《企业会计准则第8号——资产减值》的规定，确定使用权资产是否发生减值，并对已识别的减值损失进行会计处理。</w:t>
      </w:r>
    </w:p>
    <w:p>
      <w:pPr>
        <w:spacing w:line="360" w:lineRule="auto"/>
        <w:ind w:firstLine="420" w:firstLineChars="200"/>
        <w:rPr>
          <w:rFonts w:ascii="宋体" w:hAnsi="宋体"/>
          <w:color w:val="auto"/>
          <w:szCs w:val="21"/>
        </w:rPr>
      </w:pPr>
      <w:r>
        <w:rPr>
          <w:rFonts w:hint="eastAsia" w:ascii="宋体" w:hAnsi="宋体"/>
          <w:color w:val="auto"/>
          <w:szCs w:val="21"/>
        </w:rPr>
        <w:t>本</w:t>
      </w:r>
      <w:r>
        <w:rPr>
          <w:rFonts w:ascii="宋体" w:hAnsi="宋体"/>
          <w:color w:val="auto"/>
          <w:szCs w:val="21"/>
        </w:rPr>
        <w:t>公司根据准则重新计量租赁负债时，相应调整使用权资产的账面价值。</w:t>
      </w:r>
      <w:r>
        <w:rPr>
          <w:rFonts w:hint="eastAsia" w:ascii="宋体" w:hAnsi="宋体"/>
          <w:color w:val="auto"/>
          <w:szCs w:val="21"/>
        </w:rPr>
        <w:t>如</w:t>
      </w:r>
      <w:r>
        <w:rPr>
          <w:rFonts w:ascii="宋体" w:hAnsi="宋体"/>
          <w:color w:val="auto"/>
          <w:szCs w:val="21"/>
        </w:rPr>
        <w:t>使用权资产的账面价值已调减至零，但租赁负债仍需进一步调减的，将剩余金额计入当期损益。</w:t>
      </w:r>
    </w:p>
    <w:p>
      <w:pPr>
        <w:spacing w:line="360" w:lineRule="auto"/>
        <w:ind w:firstLine="420" w:firstLineChars="200"/>
        <w:rPr>
          <w:rFonts w:ascii="宋体" w:hAnsi="宋体"/>
          <w:color w:val="auto"/>
          <w:szCs w:val="21"/>
        </w:rPr>
      </w:pPr>
      <w:r>
        <w:rPr>
          <w:rFonts w:ascii="宋体" w:hAnsi="宋体"/>
          <w:color w:val="auto"/>
          <w:szCs w:val="21"/>
        </w:rPr>
        <w:t>租赁变更导致租赁范围缩小或租赁期缩短的，</w:t>
      </w:r>
      <w:r>
        <w:rPr>
          <w:rFonts w:hint="eastAsia" w:ascii="宋体" w:hAnsi="宋体"/>
          <w:color w:val="auto"/>
          <w:szCs w:val="21"/>
        </w:rPr>
        <w:t>本</w:t>
      </w:r>
      <w:r>
        <w:rPr>
          <w:rFonts w:ascii="宋体" w:hAnsi="宋体"/>
          <w:color w:val="auto"/>
          <w:szCs w:val="21"/>
        </w:rPr>
        <w:t>公司相应调减使用权资产的账面价值，并将部分终止或完全终止租赁的相关利得或损失计入当期损益。其他租赁变更导致租赁负债重新计量的，</w:t>
      </w:r>
      <w:r>
        <w:rPr>
          <w:rFonts w:hint="eastAsia" w:ascii="宋体" w:hAnsi="宋体"/>
          <w:color w:val="auto"/>
          <w:szCs w:val="21"/>
        </w:rPr>
        <w:t>本</w:t>
      </w:r>
      <w:r>
        <w:rPr>
          <w:rFonts w:ascii="宋体" w:hAnsi="宋体"/>
          <w:color w:val="auto"/>
          <w:szCs w:val="21"/>
        </w:rPr>
        <w:t>公司相应调整使用权资产的账面价值。</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（二十五）无形资产</w:t>
      </w:r>
    </w:p>
    <w:p>
      <w:pPr>
        <w:spacing w:line="360" w:lineRule="auto"/>
        <w:ind w:firstLine="420" w:firstLineChars="200"/>
        <w:rPr>
          <w:rFonts w:ascii="宋体" w:hAnsi="宋体"/>
          <w:color w:val="auto"/>
          <w:szCs w:val="21"/>
        </w:rPr>
      </w:pPr>
      <w:r>
        <w:rPr>
          <w:rFonts w:hint="eastAsia" w:ascii="宋体" w:hAnsi="宋体"/>
          <w:color w:val="auto"/>
          <w:szCs w:val="21"/>
        </w:rPr>
        <w:t>无形资产是指本公司拥有或者控制的没有实物形态的可辨认非货币性资产，在同时满足以下条件时予以确认：</w:t>
      </w:r>
    </w:p>
    <w:p>
      <w:pPr>
        <w:spacing w:line="360" w:lineRule="auto"/>
        <w:ind w:firstLine="420" w:firstLineChars="200"/>
        <w:rPr>
          <w:rFonts w:ascii="宋体" w:hAnsi="宋体"/>
          <w:color w:val="auto"/>
          <w:szCs w:val="21"/>
        </w:rPr>
      </w:pPr>
      <w:r>
        <w:rPr>
          <w:rFonts w:hint="eastAsia" w:ascii="宋体" w:hAnsi="宋体"/>
          <w:color w:val="auto"/>
          <w:szCs w:val="21"/>
        </w:rPr>
        <w:t>①与该无形资产有关的经济利益很可能流入本公司；</w:t>
      </w:r>
    </w:p>
    <w:p>
      <w:pPr>
        <w:spacing w:line="360" w:lineRule="auto"/>
        <w:ind w:firstLine="420" w:firstLineChars="200"/>
        <w:rPr>
          <w:rFonts w:ascii="宋体" w:hAnsi="宋体"/>
          <w:color w:val="auto"/>
          <w:szCs w:val="21"/>
        </w:rPr>
      </w:pPr>
      <w:r>
        <w:rPr>
          <w:rFonts w:hint="eastAsia" w:ascii="宋体" w:hAnsi="宋体"/>
          <w:color w:val="auto"/>
          <w:szCs w:val="21"/>
        </w:rPr>
        <w:t>②该无形资产的成本能够可靠地计量。</w:t>
      </w:r>
    </w:p>
    <w:p>
      <w:pPr>
        <w:pStyle w:val="14"/>
        <w:adjustRightInd/>
        <w:spacing w:line="360" w:lineRule="auto"/>
        <w:ind w:firstLine="420" w:firstLineChars="200"/>
        <w:jc w:val="both"/>
        <w:rPr>
          <w:rFonts w:ascii="宋体" w:hAnsi="宋体" w:eastAsia="宋体"/>
          <w:b/>
          <w:color w:val="auto"/>
          <w:sz w:val="21"/>
          <w:szCs w:val="21"/>
        </w:rPr>
      </w:pPr>
      <w:r>
        <w:rPr>
          <w:rFonts w:ascii="宋体" w:hAnsi="宋体" w:eastAsia="宋体"/>
          <w:b/>
          <w:color w:val="auto"/>
          <w:sz w:val="21"/>
          <w:szCs w:val="21"/>
        </w:rPr>
        <w:t>1</w:t>
      </w:r>
      <w:r>
        <w:rPr>
          <w:rFonts w:hint="eastAsia" w:ascii="宋体" w:hAnsi="宋体" w:eastAsia="宋体"/>
          <w:b/>
          <w:color w:val="auto"/>
          <w:sz w:val="21"/>
          <w:szCs w:val="21"/>
        </w:rPr>
        <w:t>、无形资产的计量</w:t>
      </w:r>
    </w:p>
    <w:p>
      <w:pPr>
        <w:spacing w:line="360" w:lineRule="auto"/>
        <w:ind w:firstLine="420" w:firstLineChars="200"/>
        <w:rPr>
          <w:rFonts w:ascii="宋体" w:hAnsi="宋体"/>
          <w:color w:val="auto"/>
          <w:szCs w:val="21"/>
        </w:rPr>
      </w:pPr>
      <w:r>
        <w:rPr>
          <w:rFonts w:hint="eastAsia" w:ascii="宋体" w:hAnsi="宋体"/>
          <w:color w:val="auto"/>
          <w:szCs w:val="21"/>
        </w:rPr>
        <w:t>本公司无形资产按照成本进行初始计量。购入的无形资产，按实际支付的价款和相关支出作为实际成本。投资者投入的无形资产，按投资合同或协议约定的价值确定实际成本，但合同或协议约定价值不公允的，按公允价值确定实际成本；自行开发的无形资产，其成本为达到预定用途前所发生的支出总额；对非同一控制下合并中取得被购买方拥有的但在其财务报表中未确认的无形资产，在对被购买方资产进行初始确认时，按公允价值确认为无形资产。</w:t>
      </w:r>
    </w:p>
    <w:p>
      <w:pPr>
        <w:spacing w:line="360" w:lineRule="auto"/>
        <w:ind w:firstLine="420" w:firstLineChars="200"/>
        <w:rPr>
          <w:rFonts w:ascii="宋体" w:hAnsi="宋体"/>
          <w:color w:val="auto"/>
          <w:szCs w:val="21"/>
        </w:rPr>
      </w:pPr>
      <w:r>
        <w:rPr>
          <w:rFonts w:hint="eastAsia" w:ascii="宋体" w:hAnsi="宋体"/>
          <w:color w:val="auto"/>
          <w:szCs w:val="21"/>
        </w:rPr>
        <w:t>本公司无形资产后续计量，分别为：①使用寿命有限无形资产采用直线法摊销，并在年度终了，对无形资产的使用寿命和摊销方法进行复核，如与原先估计数存在差异的，进行相应的调整。②使用寿命不确定的无形资产不摊销，但在年度终了，对使用寿命进行复核，当有确凿证据表明其使用寿命是有限的，则估计其使用寿命，按直线法进行摊销。</w:t>
      </w:r>
    </w:p>
    <w:p>
      <w:pPr>
        <w:pStyle w:val="14"/>
        <w:adjustRightInd/>
        <w:spacing w:line="360" w:lineRule="auto"/>
        <w:ind w:firstLine="420" w:firstLineChars="200"/>
        <w:jc w:val="both"/>
        <w:rPr>
          <w:rFonts w:ascii="宋体" w:hAnsi="宋体" w:eastAsia="宋体"/>
          <w:b/>
          <w:color w:val="auto"/>
          <w:sz w:val="21"/>
          <w:szCs w:val="21"/>
        </w:rPr>
      </w:pPr>
      <w:r>
        <w:rPr>
          <w:rFonts w:ascii="宋体" w:hAnsi="宋体" w:eastAsia="宋体"/>
          <w:b/>
          <w:color w:val="auto"/>
          <w:sz w:val="21"/>
          <w:szCs w:val="21"/>
        </w:rPr>
        <w:t>2</w:t>
      </w:r>
      <w:r>
        <w:rPr>
          <w:rFonts w:hint="eastAsia" w:ascii="宋体" w:hAnsi="宋体" w:eastAsia="宋体"/>
          <w:b/>
          <w:color w:val="auto"/>
          <w:sz w:val="21"/>
          <w:szCs w:val="21"/>
        </w:rPr>
        <w:t>、使用寿命不确定的判断依据</w:t>
      </w:r>
    </w:p>
    <w:p>
      <w:pPr>
        <w:spacing w:line="360" w:lineRule="auto"/>
        <w:ind w:firstLine="420" w:firstLineChars="200"/>
        <w:rPr>
          <w:rFonts w:ascii="宋体" w:hAnsi="宋体"/>
          <w:color w:val="auto"/>
          <w:szCs w:val="21"/>
        </w:rPr>
      </w:pPr>
      <w:r>
        <w:rPr>
          <w:rFonts w:hint="eastAsia" w:ascii="宋体" w:hAnsi="宋体"/>
          <w:color w:val="auto"/>
          <w:szCs w:val="21"/>
        </w:rPr>
        <w:t>本公司将无法预见该资产为公司带来经济利益的期限，或使用期限不确定等无形资产确定为使用寿命不确定的无形资产。</w:t>
      </w:r>
    </w:p>
    <w:p>
      <w:pPr>
        <w:spacing w:line="360" w:lineRule="auto"/>
        <w:ind w:firstLine="420" w:firstLineChars="200"/>
        <w:rPr>
          <w:rFonts w:ascii="宋体" w:hAnsi="宋体"/>
          <w:color w:val="auto"/>
          <w:szCs w:val="21"/>
        </w:rPr>
      </w:pPr>
      <w:r>
        <w:rPr>
          <w:rFonts w:hint="eastAsia" w:ascii="宋体" w:hAnsi="宋体"/>
          <w:color w:val="auto"/>
          <w:szCs w:val="21"/>
        </w:rPr>
        <w:t>使用寿命不确定的判断依据：（1）来源于合同性权利或其他法定权利，但合同规定或法律规定无明确使用年限；（2）综合同行业情况或相关专家论证等，仍无法判断无形资产为公司带来经济利益的期限。</w:t>
      </w:r>
    </w:p>
    <w:p>
      <w:pPr>
        <w:spacing w:line="360" w:lineRule="auto"/>
        <w:ind w:firstLine="420" w:firstLineChars="200"/>
        <w:rPr>
          <w:rFonts w:ascii="宋体" w:hAnsi="宋体"/>
          <w:color w:val="auto"/>
          <w:szCs w:val="21"/>
        </w:rPr>
      </w:pPr>
      <w:r>
        <w:rPr>
          <w:rFonts w:hint="eastAsia" w:ascii="宋体" w:hAnsi="宋体"/>
          <w:color w:val="auto"/>
          <w:szCs w:val="21"/>
        </w:rPr>
        <w:t>每年年末，本公司对使用寿命不确定无形资产使用寿命进行复核，主要采取自下而上的方式，由无形资产使用相关部门进行基础复核，评价使用寿命不确定判断依据是否存在变化等。</w:t>
      </w:r>
    </w:p>
    <w:p>
      <w:pPr>
        <w:pStyle w:val="14"/>
        <w:adjustRightInd/>
        <w:spacing w:line="360" w:lineRule="auto"/>
        <w:ind w:firstLine="420" w:firstLineChars="200"/>
        <w:jc w:val="both"/>
        <w:rPr>
          <w:rFonts w:ascii="宋体" w:hAnsi="宋体" w:eastAsia="宋体"/>
          <w:b/>
          <w:color w:val="auto"/>
          <w:sz w:val="21"/>
          <w:szCs w:val="21"/>
        </w:rPr>
      </w:pPr>
      <w:r>
        <w:rPr>
          <w:rFonts w:hint="eastAsia" w:ascii="宋体" w:hAnsi="宋体" w:eastAsia="宋体"/>
          <w:b/>
          <w:color w:val="auto"/>
          <w:sz w:val="21"/>
          <w:szCs w:val="21"/>
        </w:rPr>
        <w:t>3、无形资产的减值测试方法及减值准备计提方法</w:t>
      </w:r>
    </w:p>
    <w:p>
      <w:pPr>
        <w:spacing w:line="360" w:lineRule="auto"/>
        <w:ind w:firstLine="420" w:firstLineChars="200"/>
        <w:rPr>
          <w:rFonts w:ascii="宋体" w:hAnsi="宋体"/>
          <w:color w:val="auto"/>
          <w:szCs w:val="21"/>
        </w:rPr>
      </w:pPr>
      <w:r>
        <w:rPr>
          <w:rFonts w:hint="eastAsia" w:ascii="宋体" w:hAnsi="宋体"/>
          <w:color w:val="auto"/>
          <w:szCs w:val="21"/>
        </w:rPr>
        <w:t>资产负债表日，本公司对无形资产检查是否存在可能发生减值的迹象，当存在减值迹象时应进行减值测试确认其可收回金额，按可收回金额低于账面价值部分计提减值准备，减值损失一经计提，在以后会计期间不再转回。</w:t>
      </w:r>
    </w:p>
    <w:p>
      <w:pPr>
        <w:spacing w:line="360" w:lineRule="auto"/>
        <w:ind w:firstLine="420" w:firstLineChars="200"/>
        <w:rPr>
          <w:rFonts w:ascii="宋体" w:hAnsi="宋体"/>
          <w:color w:val="auto"/>
          <w:szCs w:val="21"/>
        </w:rPr>
      </w:pPr>
      <w:r>
        <w:rPr>
          <w:rFonts w:hint="eastAsia" w:ascii="宋体" w:hAnsi="宋体"/>
          <w:color w:val="auto"/>
          <w:szCs w:val="21"/>
        </w:rPr>
        <w:t>无形资产可收回金额根据资产公允价值减去处置费用后的净额与资产预计未来现金流量的现值两者孰高确定。</w:t>
      </w:r>
    </w:p>
    <w:p>
      <w:pPr>
        <w:pStyle w:val="14"/>
        <w:adjustRightInd/>
        <w:spacing w:line="360" w:lineRule="auto"/>
        <w:ind w:firstLine="420" w:firstLineChars="200"/>
        <w:jc w:val="both"/>
        <w:rPr>
          <w:rFonts w:ascii="宋体" w:hAnsi="宋体" w:eastAsia="宋体"/>
          <w:b/>
          <w:color w:val="auto"/>
          <w:sz w:val="21"/>
          <w:szCs w:val="21"/>
        </w:rPr>
      </w:pPr>
      <w:r>
        <w:rPr>
          <w:rFonts w:hint="eastAsia" w:ascii="宋体" w:hAnsi="宋体" w:eastAsia="宋体"/>
          <w:b/>
          <w:color w:val="auto"/>
          <w:sz w:val="21"/>
          <w:szCs w:val="21"/>
        </w:rPr>
        <w:t>4、内部研究开发项目的研究阶段和开发阶段具体标准，以及开发阶段支出符合资本化条件的具体标准</w:t>
      </w:r>
    </w:p>
    <w:p>
      <w:pPr>
        <w:spacing w:line="360" w:lineRule="auto"/>
        <w:ind w:firstLine="420" w:firstLineChars="200"/>
        <w:rPr>
          <w:rFonts w:ascii="宋体" w:hAnsi="宋体"/>
          <w:color w:val="auto"/>
          <w:szCs w:val="21"/>
        </w:rPr>
      </w:pPr>
      <w:r>
        <w:rPr>
          <w:rFonts w:hint="eastAsia" w:ascii="宋体" w:hAnsi="宋体"/>
          <w:color w:val="auto"/>
          <w:szCs w:val="21"/>
        </w:rPr>
        <w:t>内部研究开发项目研究阶段的支出，本公司于发生时计入当期损益；开发阶段的支出，只有同时满足下列条件的，本公司才予以资本化：（1）完成该无形资产以使其能够使用或出售在技术上具有可行性；（2）具有完成该无形资产并使用或出售的意图；（3）无形资产产生经济利益的方式，包括能够证明运用该无形资产生产的产品存在市场或无形资产自身存在市场，无形资产将在内部使用的，能证明其有用性；（4）有足够的技术、财务资源和其他资源支持，以完成该无形资产的开发，并有能力使用或出售该无形资产；（5）归属于该无形资产开发阶段的支出能够可靠地计量。</w:t>
      </w:r>
    </w:p>
    <w:p>
      <w:pPr>
        <w:spacing w:line="360" w:lineRule="auto"/>
        <w:ind w:firstLine="420" w:firstLineChars="200"/>
        <w:rPr>
          <w:rFonts w:ascii="宋体" w:hAnsi="宋体"/>
          <w:color w:val="auto"/>
          <w:szCs w:val="21"/>
        </w:rPr>
      </w:pPr>
      <w:r>
        <w:rPr>
          <w:rFonts w:hint="eastAsia" w:ascii="宋体" w:hAnsi="宋体"/>
          <w:color w:val="auto"/>
          <w:szCs w:val="21"/>
        </w:rPr>
        <w:t>本公司划分内部研究开发项目的研究阶段和开发阶段的具体标准：为获取新的技术和知识等进行的有计划的调查阶段，本公司确定为研究阶段，该阶段具有计划性和探索性等特点；在进行商业性生产或使用前，将研究成果或其他知识应用于某项计划或设计，以生产出新的或具有实质性改进的材料、装置、产品等阶段，本公司确定为开发阶段，该阶段具有针对性和形成成果的可能性较大等特点。</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（二十六）长期资产减值</w:t>
      </w:r>
    </w:p>
    <w:p>
      <w:pPr>
        <w:spacing w:line="360" w:lineRule="auto"/>
        <w:ind w:firstLine="420" w:firstLineChars="200"/>
        <w:rPr>
          <w:rFonts w:ascii="宋体" w:hAnsi="宋体"/>
          <w:color w:val="auto"/>
          <w:szCs w:val="21"/>
        </w:rPr>
      </w:pPr>
      <w:r>
        <w:rPr>
          <w:rFonts w:hint="eastAsia" w:ascii="宋体" w:hAnsi="宋体"/>
          <w:color w:val="auto"/>
          <w:szCs w:val="21"/>
        </w:rPr>
        <w:t>本公司对长期股权投资、采用成本模式计量的投资性房地产、固定资产、在建工程、无形资产等长期资产，于资产负债表日存在减值迹象的，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pPr>
        <w:spacing w:line="360" w:lineRule="auto"/>
        <w:ind w:firstLine="420" w:firstLineChars="200"/>
        <w:rPr>
          <w:rFonts w:ascii="宋体" w:hAnsi="宋体"/>
          <w:color w:val="auto"/>
          <w:szCs w:val="21"/>
        </w:rPr>
      </w:pPr>
      <w:r>
        <w:rPr>
          <w:rFonts w:hint="eastAsia" w:ascii="宋体" w:hAnsi="宋体"/>
          <w:color w:val="auto"/>
          <w:szCs w:val="21"/>
        </w:rPr>
        <w:t>本公司对因企业合并所形成的商誉和使用寿命不确定的无形资产，无论是否存在减值迹象，至少于每年末进行减值测试。对于尚未达到可使用状态的无形资产，也每年进行减值测试。</w:t>
      </w:r>
    </w:p>
    <w:p>
      <w:pPr>
        <w:spacing w:line="360" w:lineRule="auto"/>
        <w:ind w:firstLine="420" w:firstLineChars="200"/>
        <w:rPr>
          <w:rFonts w:ascii="宋体" w:hAnsi="宋体"/>
          <w:color w:val="auto"/>
          <w:szCs w:val="21"/>
        </w:rPr>
      </w:pPr>
      <w:r>
        <w:rPr>
          <w:rFonts w:hint="eastAsia" w:ascii="宋体" w:hAnsi="宋体"/>
          <w:color w:val="auto"/>
          <w:szCs w:val="21"/>
        </w:rPr>
        <w:t>本公司进行商誉减值测试时，对于因企业合并形成的商誉的账面价值，自购买日起按照合理的方法分摊至相关的资产组；难以分摊至相关的资产组的，将其分摊至相关的资产组组合。在将商誉的账面价值分摊至相关的资产组或者资产组组合时，按照各资产组或者资产组组合的公允价值占相关资产组或者资产组组合公允价值总额的比例进行分摊。公允价值难以可靠计量的，按照各资产组或者资产组组合的账面价值占相关资产组或者资产组组合账面价值总额的比例进行分摊。</w:t>
      </w:r>
    </w:p>
    <w:p>
      <w:pPr>
        <w:spacing w:line="360" w:lineRule="auto"/>
        <w:ind w:firstLine="420" w:firstLineChars="200"/>
        <w:rPr>
          <w:rFonts w:ascii="宋体" w:hAnsi="宋体"/>
          <w:color w:val="auto"/>
          <w:szCs w:val="21"/>
        </w:rPr>
      </w:pPr>
      <w:r>
        <w:rPr>
          <w:rFonts w:hint="eastAsia" w:ascii="宋体" w:hAnsi="宋体"/>
          <w:color w:val="auto"/>
          <w:szCs w:val="21"/>
        </w:rPr>
        <w:t>本公司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与其可收回金额，如相关资产组或者资产组组合的可收回金额低于其账面价值的，就其差额确认减值损失。减值损失金额首先抵减分摊至资产组或者资产组组合中商誉的账面价值；再根据资产组或者资产组组合中除商誉之外的其他各项资产的账面价值所占比重，按比例抵减其他各项资产的账面价值。</w:t>
      </w:r>
    </w:p>
    <w:p>
      <w:pPr>
        <w:spacing w:line="360" w:lineRule="auto"/>
        <w:ind w:firstLine="420" w:firstLineChars="200"/>
        <w:rPr>
          <w:rFonts w:ascii="宋体" w:hAnsi="宋体"/>
          <w:color w:val="auto"/>
          <w:szCs w:val="21"/>
        </w:rPr>
      </w:pPr>
      <w:r>
        <w:rPr>
          <w:rFonts w:hint="eastAsia" w:ascii="宋体" w:hAnsi="宋体"/>
          <w:color w:val="auto"/>
          <w:szCs w:val="21"/>
        </w:rPr>
        <w:t>上述资产减值损失一经确认，本公司在以后会计期间不予转回。</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（二十七）长期待摊费用</w:t>
      </w:r>
    </w:p>
    <w:p>
      <w:pPr>
        <w:spacing w:line="360" w:lineRule="auto"/>
        <w:ind w:firstLine="420" w:firstLineChars="200"/>
        <w:rPr>
          <w:rFonts w:ascii="宋体" w:hAnsi="宋体"/>
          <w:color w:val="auto"/>
          <w:szCs w:val="21"/>
        </w:rPr>
      </w:pPr>
      <w:r>
        <w:rPr>
          <w:rFonts w:hint="eastAsia" w:ascii="宋体" w:hAnsi="宋体"/>
          <w:color w:val="auto"/>
          <w:szCs w:val="21"/>
        </w:rPr>
        <w:t>长期待摊费用是指已经支出，但受益期限在一年以上（不含一年）的各项费用。长期待摊费用按费用项目的受益期限分期摊销。若长期待摊的费用项目不能使以后会计期间受益，本公司将尚未摊销的该项目的摊余价值全部转入当期损益。</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（二十八）合同负债</w:t>
      </w:r>
    </w:p>
    <w:p>
      <w:pPr>
        <w:spacing w:line="360" w:lineRule="auto"/>
        <w:ind w:firstLine="420" w:firstLineChars="200"/>
        <w:rPr>
          <w:rFonts w:ascii="宋体" w:hAnsi="宋体"/>
          <w:color w:val="auto"/>
          <w:szCs w:val="21"/>
        </w:rPr>
      </w:pPr>
      <w:r>
        <w:rPr>
          <w:rFonts w:ascii="宋体" w:hAnsi="宋体"/>
          <w:color w:val="auto"/>
          <w:szCs w:val="21"/>
        </w:rPr>
        <w:t>合同负债，是指本公司已收或应收客户对价而应向客户转让商品的义务。如果在本公司向客户转让商品之前，客户已经支付了合同对价或本公司已经取得了无条件收款权，本公司在客户实际支付款项和到期应支付款项孰早时点，将该已收或应收款项列示为合同负债。同一合同下的合同资产和合同负债以净额列示，不同合同下的合同资产和合同负债不予抵销。</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（二十九）职工薪酬</w:t>
      </w:r>
    </w:p>
    <w:p>
      <w:pPr>
        <w:spacing w:line="360" w:lineRule="auto"/>
        <w:ind w:firstLine="420" w:firstLineChars="200"/>
        <w:rPr>
          <w:rFonts w:ascii="宋体" w:hAnsi="宋体"/>
          <w:color w:val="auto"/>
          <w:szCs w:val="21"/>
        </w:rPr>
      </w:pPr>
      <w:r>
        <w:rPr>
          <w:rFonts w:hint="eastAsia" w:ascii="宋体" w:hAnsi="宋体"/>
          <w:color w:val="auto"/>
          <w:szCs w:val="21"/>
        </w:rPr>
        <w:t>职工薪酬是本公司为获得职工提供的服务而给予的各种形式报酬以及其他相关支出，包括短期薪酬、离职后福利、辞退福利和其他长期福利。</w:t>
      </w:r>
    </w:p>
    <w:p>
      <w:pPr>
        <w:spacing w:line="360" w:lineRule="auto"/>
        <w:ind w:firstLine="420" w:firstLineChars="200"/>
        <w:rPr>
          <w:rFonts w:ascii="宋体" w:hAnsi="宋体"/>
          <w:b/>
          <w:bCs/>
          <w:color w:val="auto"/>
          <w:szCs w:val="21"/>
        </w:rPr>
      </w:pPr>
      <w:r>
        <w:rPr>
          <w:rFonts w:hint="eastAsia" w:ascii="宋体" w:hAnsi="宋体"/>
          <w:b/>
          <w:bCs/>
          <w:color w:val="auto"/>
          <w:szCs w:val="21"/>
        </w:rPr>
        <w:t>1、短期薪酬的会计处理方法</w:t>
      </w:r>
    </w:p>
    <w:p>
      <w:pPr>
        <w:spacing w:line="360" w:lineRule="auto"/>
        <w:ind w:firstLine="420" w:firstLineChars="200"/>
        <w:rPr>
          <w:rFonts w:ascii="宋体" w:hAnsi="宋体"/>
          <w:color w:val="auto"/>
          <w:szCs w:val="21"/>
        </w:rPr>
      </w:pPr>
      <w:r>
        <w:rPr>
          <w:rFonts w:hint="eastAsia" w:ascii="宋体" w:hAnsi="宋体"/>
          <w:color w:val="auto"/>
          <w:szCs w:val="21"/>
        </w:rPr>
        <w:t>短期薪酬包括短期工资、奖金、津贴、补贴、职工福利费、住房公积金、工会经费和职工教育经费、医疗保险费、工伤保险费、生育保险费、短期带薪缺勤、短期利润分享计划等。在职工提供服务的会计期间，将实际发生的应付的短期薪酬确认为负债，并按照受益对象按照权责发生制原则计入当期损益或相关资产成本。</w:t>
      </w:r>
    </w:p>
    <w:p>
      <w:pPr>
        <w:spacing w:line="360" w:lineRule="auto"/>
        <w:ind w:firstLine="420" w:firstLineChars="200"/>
        <w:rPr>
          <w:rFonts w:ascii="宋体" w:hAnsi="宋体"/>
          <w:b/>
          <w:bCs/>
          <w:color w:val="auto"/>
          <w:szCs w:val="21"/>
        </w:rPr>
      </w:pPr>
      <w:r>
        <w:rPr>
          <w:rFonts w:hint="eastAsia" w:ascii="宋体" w:hAnsi="宋体"/>
          <w:b/>
          <w:bCs/>
          <w:color w:val="auto"/>
          <w:szCs w:val="21"/>
        </w:rPr>
        <w:t>2、</w:t>
      </w:r>
      <w:r>
        <w:rPr>
          <w:rFonts w:ascii="宋体" w:hAnsi="宋体"/>
          <w:b/>
          <w:bCs/>
          <w:color w:val="auto"/>
          <w:szCs w:val="21"/>
        </w:rPr>
        <w:t>离职后福利的会计处理方法</w:t>
      </w:r>
    </w:p>
    <w:p>
      <w:pPr>
        <w:spacing w:line="360" w:lineRule="auto"/>
        <w:ind w:firstLine="420" w:firstLineChars="200"/>
        <w:rPr>
          <w:rFonts w:ascii="宋体" w:hAnsi="宋体"/>
          <w:color w:val="auto"/>
          <w:szCs w:val="21"/>
        </w:rPr>
      </w:pPr>
      <w:r>
        <w:rPr>
          <w:rFonts w:hint="eastAsia" w:ascii="宋体" w:hAnsi="宋体"/>
          <w:color w:val="auto"/>
          <w:szCs w:val="21"/>
        </w:rPr>
        <w:t>离职后福利主要包括基本养老保险费、企业年金等，按照公司承担的风险和义务，分类为设定提存计划、设定受益计划。</w:t>
      </w:r>
    </w:p>
    <w:p>
      <w:pPr>
        <w:spacing w:line="360" w:lineRule="auto"/>
        <w:ind w:firstLine="420" w:firstLineChars="200"/>
        <w:rPr>
          <w:rFonts w:ascii="宋体" w:hAnsi="宋体"/>
          <w:color w:val="auto"/>
          <w:szCs w:val="21"/>
        </w:rPr>
      </w:pPr>
      <w:r>
        <w:rPr>
          <w:rFonts w:hint="eastAsia" w:ascii="宋体" w:hAnsi="宋体"/>
          <w:color w:val="auto"/>
          <w:szCs w:val="21"/>
        </w:rPr>
        <w:t>设定提存计划：在根据在资产负债表日为换取职工在会计期间提供的服务而向单独主体缴存的提存金确认为负债，并按照受益对象计入当期损益或相关资产成本。</w:t>
      </w:r>
    </w:p>
    <w:p>
      <w:pPr>
        <w:spacing w:line="360" w:lineRule="auto"/>
        <w:ind w:firstLine="420" w:firstLineChars="200"/>
        <w:rPr>
          <w:rFonts w:ascii="宋体" w:hAnsi="宋体"/>
          <w:color w:val="auto"/>
          <w:szCs w:val="21"/>
        </w:rPr>
      </w:pPr>
      <w:r>
        <w:rPr>
          <w:rFonts w:hint="eastAsia" w:ascii="宋体" w:hAnsi="宋体"/>
          <w:color w:val="auto"/>
          <w:szCs w:val="21"/>
        </w:rPr>
        <w:t>设定受益计划：在半年和年度资产负债表日由独立精算师进行精算估值，以预期累积福利单位法确定提供福利的成本。设定受益计划导致的职工薪酬成本包括下列组成部分：（1）服务成本，包括当期服务成本、过去服务成本和结算利得或损失。其中，当期服务成本是指，职工当期提供服务所导致的设定受益义务现值的增加额；过去服务成本是指，设定受益计划修改所导致的与以前期间职工服务相关的设定受益义务现值的增加或减少；（2）设定受益义务的利息费用；（3）重新计量设定受益计划负债导致的变动。除非其他会计准则要求或允许职工福利成本计入资产成本，本公司将上述第（1）和（2）项计入当期损益；第（3）项计入其他综合收益且不会在后续会计期间转回至损益。</w:t>
      </w:r>
    </w:p>
    <w:p>
      <w:pPr>
        <w:spacing w:line="360" w:lineRule="auto"/>
        <w:ind w:firstLine="420" w:firstLineChars="200"/>
        <w:rPr>
          <w:rFonts w:ascii="宋体" w:hAnsi="宋体"/>
          <w:b/>
          <w:bCs/>
          <w:color w:val="auto"/>
          <w:szCs w:val="21"/>
        </w:rPr>
      </w:pPr>
      <w:r>
        <w:rPr>
          <w:rFonts w:hint="eastAsia" w:ascii="宋体" w:hAnsi="宋体"/>
          <w:b/>
          <w:bCs/>
          <w:color w:val="auto"/>
          <w:szCs w:val="21"/>
        </w:rPr>
        <w:t>3、</w:t>
      </w:r>
      <w:r>
        <w:rPr>
          <w:rFonts w:ascii="宋体" w:hAnsi="宋体"/>
          <w:b/>
          <w:bCs/>
          <w:color w:val="auto"/>
          <w:szCs w:val="21"/>
        </w:rPr>
        <w:t>辞退福利的会计处理方法</w:t>
      </w:r>
    </w:p>
    <w:p>
      <w:pPr>
        <w:spacing w:line="360" w:lineRule="auto"/>
        <w:ind w:firstLine="420" w:firstLineChars="200"/>
        <w:rPr>
          <w:rFonts w:ascii="宋体" w:hAnsi="宋体"/>
          <w:color w:val="auto"/>
          <w:szCs w:val="21"/>
        </w:rPr>
      </w:pPr>
      <w:r>
        <w:rPr>
          <w:rFonts w:hint="eastAsia" w:ascii="宋体" w:hAnsi="宋体"/>
          <w:color w:val="auto"/>
          <w:szCs w:val="21"/>
        </w:rPr>
        <w:t>辞退福利是指本公司在职工劳动合同到期之前解除与职工的劳动关系，或者为鼓励职工自愿接受裁减而提出给予补偿的建议。本公司在不能单方面撤回因解除劳动关系计划或裁减建议所提供的辞退福利时，或确认与涉及支付辞退福利的重组相关的成本或费用时（两者孰早），确认辞退福利产生的职工薪酬负债，并计入当期损益。</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（三十）租赁负债</w:t>
      </w:r>
    </w:p>
    <w:p>
      <w:pPr>
        <w:spacing w:line="360" w:lineRule="auto"/>
        <w:ind w:firstLine="420" w:firstLineChars="200"/>
        <w:rPr>
          <w:rFonts w:ascii="宋体" w:hAnsi="宋体"/>
          <w:color w:val="auto"/>
          <w:szCs w:val="21"/>
        </w:rPr>
      </w:pPr>
      <w:r>
        <w:rPr>
          <w:rFonts w:ascii="宋体" w:hAnsi="宋体"/>
          <w:color w:val="auto"/>
          <w:szCs w:val="21"/>
        </w:rPr>
        <w:t>在租赁期开始日，</w:t>
      </w:r>
      <w:r>
        <w:rPr>
          <w:rFonts w:hint="eastAsia" w:ascii="宋体" w:hAnsi="宋体"/>
          <w:color w:val="auto"/>
          <w:szCs w:val="21"/>
        </w:rPr>
        <w:t>本</w:t>
      </w:r>
      <w:r>
        <w:rPr>
          <w:rFonts w:ascii="宋体" w:hAnsi="宋体"/>
          <w:color w:val="auto"/>
          <w:szCs w:val="21"/>
        </w:rPr>
        <w:t>公司作为承租人对租赁确认使用权资产和租赁负债。</w:t>
      </w:r>
      <w:r>
        <w:rPr>
          <w:rFonts w:hint="eastAsia" w:ascii="宋体" w:hAnsi="宋体"/>
          <w:color w:val="auto"/>
          <w:szCs w:val="21"/>
        </w:rPr>
        <w:t>本</w:t>
      </w:r>
      <w:r>
        <w:rPr>
          <w:rFonts w:ascii="宋体" w:hAnsi="宋体"/>
          <w:color w:val="auto"/>
          <w:szCs w:val="21"/>
        </w:rPr>
        <w:t>公司的租赁负债按照租赁期开始日尚未支付的租赁付款额的现值进行初始计量。</w:t>
      </w:r>
    </w:p>
    <w:p>
      <w:pPr>
        <w:spacing w:line="360" w:lineRule="auto"/>
        <w:ind w:firstLine="420" w:firstLineChars="200"/>
        <w:rPr>
          <w:rFonts w:ascii="宋体" w:hAnsi="宋体"/>
          <w:color w:val="auto"/>
          <w:szCs w:val="21"/>
        </w:rPr>
      </w:pPr>
      <w:r>
        <w:rPr>
          <w:rFonts w:ascii="宋体" w:hAnsi="宋体"/>
          <w:color w:val="auto"/>
          <w:szCs w:val="21"/>
        </w:rPr>
        <w:t>在计算租赁付款额的现值时，</w:t>
      </w:r>
      <w:r>
        <w:rPr>
          <w:rFonts w:hint="eastAsia" w:ascii="宋体" w:hAnsi="宋体"/>
          <w:color w:val="auto"/>
          <w:szCs w:val="21"/>
        </w:rPr>
        <w:t>本</w:t>
      </w:r>
      <w:r>
        <w:rPr>
          <w:rFonts w:ascii="宋体" w:hAnsi="宋体"/>
          <w:color w:val="auto"/>
          <w:szCs w:val="21"/>
        </w:rPr>
        <w:t>公司采用租赁内含利率作为折现率；无法确定租赁内含利率的，采用</w:t>
      </w:r>
      <w:r>
        <w:rPr>
          <w:rFonts w:hint="eastAsia" w:ascii="宋体" w:hAnsi="宋体"/>
          <w:color w:val="auto"/>
          <w:szCs w:val="21"/>
        </w:rPr>
        <w:t>本公司（即承租人）</w:t>
      </w:r>
      <w:r>
        <w:rPr>
          <w:rFonts w:ascii="宋体" w:hAnsi="宋体"/>
          <w:color w:val="auto"/>
          <w:szCs w:val="21"/>
        </w:rPr>
        <w:t>增量借款利率作为折现率。</w:t>
      </w:r>
    </w:p>
    <w:p>
      <w:pPr>
        <w:spacing w:line="360" w:lineRule="auto"/>
        <w:ind w:firstLine="420" w:firstLineChars="200"/>
        <w:rPr>
          <w:rFonts w:ascii="宋体" w:hAnsi="宋体"/>
          <w:color w:val="auto"/>
          <w:szCs w:val="21"/>
        </w:rPr>
      </w:pPr>
      <w:r>
        <w:rPr>
          <w:rFonts w:ascii="宋体" w:hAnsi="宋体"/>
          <w:color w:val="auto"/>
          <w:szCs w:val="21"/>
        </w:rPr>
        <w:t>租赁内含利率，是指使出租人的租赁收款额的现值与未担保余值的现值之和等于租赁资产公允价值与出租人的初始直接费用之和的利率。承租人增量借款利率，是指承租人在类似经济环境下为获得与使用权资产价值接近的资产，在类似期间以类似抵押条件借入资金须支付的利率。</w:t>
      </w:r>
    </w:p>
    <w:p>
      <w:pPr>
        <w:spacing w:line="360" w:lineRule="auto"/>
        <w:ind w:firstLine="420" w:firstLineChars="200"/>
        <w:rPr>
          <w:rFonts w:ascii="宋体" w:hAnsi="宋体"/>
          <w:color w:val="auto"/>
          <w:szCs w:val="21"/>
        </w:rPr>
      </w:pPr>
      <w:r>
        <w:rPr>
          <w:rFonts w:hint="eastAsia" w:ascii="宋体" w:hAnsi="宋体"/>
          <w:color w:val="auto"/>
          <w:szCs w:val="21"/>
        </w:rPr>
        <w:t>本</w:t>
      </w:r>
      <w:r>
        <w:rPr>
          <w:rFonts w:ascii="宋体" w:hAnsi="宋体"/>
          <w:color w:val="auto"/>
          <w:szCs w:val="21"/>
        </w:rPr>
        <w:t>公司按照固定的周期性利率计算租赁负债在租赁期内各期间的利息费用，并计入当期损益或资产成本。</w:t>
      </w:r>
    </w:p>
    <w:p>
      <w:pPr>
        <w:spacing w:line="360" w:lineRule="auto"/>
        <w:ind w:firstLine="420" w:firstLineChars="200"/>
        <w:rPr>
          <w:rFonts w:ascii="宋体" w:hAnsi="宋体"/>
          <w:color w:val="auto"/>
          <w:szCs w:val="21"/>
        </w:rPr>
      </w:pPr>
      <w:r>
        <w:rPr>
          <w:rFonts w:ascii="宋体" w:hAnsi="宋体"/>
          <w:color w:val="auto"/>
          <w:szCs w:val="21"/>
        </w:rPr>
        <w:t>在租赁期开始日后，</w:t>
      </w:r>
      <w:r>
        <w:rPr>
          <w:rFonts w:hint="eastAsia" w:ascii="宋体" w:hAnsi="宋体"/>
          <w:color w:val="auto"/>
          <w:szCs w:val="21"/>
        </w:rPr>
        <w:t>本</w:t>
      </w:r>
      <w:r>
        <w:rPr>
          <w:rFonts w:ascii="宋体" w:hAnsi="宋体"/>
          <w:color w:val="auto"/>
          <w:szCs w:val="21"/>
        </w:rPr>
        <w:t>公司续租选择权、终止租赁选择权或购买选择权评估结果发生变化的，重新确定租赁付款额，并按变动后租赁付款额和修订后的折现率计算的现值重新计量租赁负债：</w:t>
      </w:r>
    </w:p>
    <w:p>
      <w:pPr>
        <w:spacing w:line="360" w:lineRule="auto"/>
        <w:ind w:firstLine="420" w:firstLineChars="200"/>
        <w:rPr>
          <w:rFonts w:ascii="宋体" w:hAnsi="宋体"/>
          <w:color w:val="auto"/>
          <w:szCs w:val="21"/>
        </w:rPr>
      </w:pPr>
      <w:r>
        <w:rPr>
          <w:rFonts w:ascii="宋体" w:hAnsi="宋体"/>
          <w:color w:val="auto"/>
          <w:szCs w:val="21"/>
        </w:rPr>
        <w:t>在租赁期开始日后，根据担保余值预计的应付金额发生变动，或者因用于确定租赁付款额的指数或比率变动而导致未来租赁付款额发生变动的，</w:t>
      </w:r>
      <w:r>
        <w:rPr>
          <w:rFonts w:hint="eastAsia" w:ascii="宋体" w:hAnsi="宋体"/>
          <w:color w:val="auto"/>
          <w:szCs w:val="21"/>
        </w:rPr>
        <w:t>本</w:t>
      </w:r>
      <w:r>
        <w:rPr>
          <w:rFonts w:ascii="宋体" w:hAnsi="宋体"/>
          <w:color w:val="auto"/>
          <w:szCs w:val="21"/>
        </w:rPr>
        <w:t>公司应当按照变动后租赁付款额的现值重新计量租赁负债。在这些情形下，</w:t>
      </w:r>
      <w:r>
        <w:rPr>
          <w:rFonts w:hint="eastAsia" w:ascii="宋体" w:hAnsi="宋体"/>
          <w:color w:val="auto"/>
          <w:szCs w:val="21"/>
        </w:rPr>
        <w:t>本</w:t>
      </w:r>
      <w:r>
        <w:rPr>
          <w:rFonts w:ascii="宋体" w:hAnsi="宋体"/>
          <w:color w:val="auto"/>
          <w:szCs w:val="21"/>
        </w:rPr>
        <w:t>公司采用的折现率不变；但是，租赁付款额的变动源自浮动利率变动的，使用修订后的折现率。</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（三十一）预计负债</w:t>
      </w:r>
    </w:p>
    <w:p>
      <w:pPr>
        <w:pStyle w:val="14"/>
        <w:spacing w:line="360" w:lineRule="auto"/>
        <w:ind w:right="306" w:firstLine="420" w:firstLineChars="200"/>
        <w:jc w:val="both"/>
        <w:rPr>
          <w:rFonts w:ascii="宋体" w:hAnsi="宋体" w:eastAsia="宋体"/>
          <w:b/>
          <w:color w:val="auto"/>
          <w:sz w:val="21"/>
          <w:szCs w:val="21"/>
        </w:rPr>
      </w:pPr>
      <w:r>
        <w:rPr>
          <w:rFonts w:ascii="宋体" w:hAnsi="宋体" w:eastAsia="宋体"/>
          <w:b/>
          <w:color w:val="auto"/>
          <w:sz w:val="21"/>
          <w:szCs w:val="21"/>
        </w:rPr>
        <w:t>1</w:t>
      </w:r>
      <w:r>
        <w:rPr>
          <w:rFonts w:hint="eastAsia" w:ascii="宋体" w:hAnsi="宋体" w:eastAsia="宋体"/>
          <w:b/>
          <w:color w:val="auto"/>
          <w:sz w:val="21"/>
          <w:szCs w:val="21"/>
        </w:rPr>
        <w:t>、预计负债的确认标准</w:t>
      </w:r>
    </w:p>
    <w:p>
      <w:pPr>
        <w:spacing w:line="360" w:lineRule="auto"/>
        <w:ind w:firstLine="420" w:firstLineChars="200"/>
        <w:rPr>
          <w:rFonts w:ascii="宋体" w:hAnsi="宋体"/>
          <w:color w:val="auto"/>
          <w:szCs w:val="21"/>
        </w:rPr>
      </w:pPr>
      <w:r>
        <w:rPr>
          <w:rFonts w:hint="eastAsia" w:ascii="宋体" w:hAnsi="宋体"/>
          <w:color w:val="auto"/>
          <w:szCs w:val="21"/>
        </w:rPr>
        <w:t>当与或有事项相关的义务是本公司承担的现时义务，且履行该义务很可能导致经济利益流出，同时其金额能够可靠地计量时确认该义务为预计负债。</w:t>
      </w:r>
    </w:p>
    <w:p>
      <w:pPr>
        <w:pStyle w:val="14"/>
        <w:spacing w:line="360" w:lineRule="auto"/>
        <w:ind w:right="306" w:firstLine="420" w:firstLineChars="200"/>
        <w:jc w:val="both"/>
        <w:rPr>
          <w:rFonts w:ascii="宋体" w:hAnsi="宋体" w:eastAsia="宋体"/>
          <w:b/>
          <w:color w:val="auto"/>
          <w:sz w:val="21"/>
          <w:szCs w:val="21"/>
        </w:rPr>
      </w:pPr>
      <w:r>
        <w:rPr>
          <w:rFonts w:ascii="宋体" w:hAnsi="宋体" w:eastAsia="宋体"/>
          <w:b/>
          <w:color w:val="auto"/>
          <w:sz w:val="21"/>
          <w:szCs w:val="21"/>
        </w:rPr>
        <w:t>2</w:t>
      </w:r>
      <w:r>
        <w:rPr>
          <w:rFonts w:hint="eastAsia" w:ascii="宋体" w:hAnsi="宋体" w:eastAsia="宋体"/>
          <w:b/>
          <w:color w:val="auto"/>
          <w:sz w:val="21"/>
          <w:szCs w:val="21"/>
        </w:rPr>
        <w:t>、预计负债的计量方法</w:t>
      </w:r>
    </w:p>
    <w:p>
      <w:pPr>
        <w:spacing w:line="360" w:lineRule="auto"/>
        <w:ind w:firstLine="420" w:firstLineChars="200"/>
        <w:rPr>
          <w:rFonts w:ascii="宋体" w:hAnsi="宋体"/>
          <w:color w:val="auto"/>
          <w:szCs w:val="21"/>
        </w:rPr>
      </w:pPr>
      <w:r>
        <w:rPr>
          <w:rFonts w:ascii="宋体" w:hAnsi="宋体"/>
          <w:color w:val="auto"/>
          <w:szCs w:val="21"/>
        </w:rPr>
        <w:t>本公司预计负债</w:t>
      </w:r>
      <w:r>
        <w:rPr>
          <w:rFonts w:hint="eastAsia" w:ascii="宋体" w:hAnsi="宋体"/>
          <w:color w:val="auto"/>
          <w:szCs w:val="21"/>
        </w:rPr>
        <w:t>按照履行相关现时义务所需支出的最佳估计数进行初始计量，如所需支出存在一个连续范围，且该范围内各种结果发生的可能性相同，最佳估计数按照该范围内的中间值确定；如涉及多个项目，按照各种可能结果及相关概率计算确定最佳估计数。</w:t>
      </w:r>
    </w:p>
    <w:p>
      <w:pPr>
        <w:spacing w:line="360" w:lineRule="auto"/>
        <w:ind w:firstLine="420" w:firstLineChars="200"/>
        <w:rPr>
          <w:rFonts w:ascii="宋体" w:hAnsi="宋体"/>
          <w:color w:val="auto"/>
          <w:szCs w:val="21"/>
        </w:rPr>
      </w:pPr>
      <w:r>
        <w:rPr>
          <w:rFonts w:hint="eastAsia" w:ascii="宋体" w:hAnsi="宋体"/>
          <w:color w:val="auto"/>
          <w:szCs w:val="21"/>
        </w:rPr>
        <w:t>本公司于资产负债表日对预计负债账面价值进行复核，有确凿证据表明该账面价值不能真实反映当前最佳估计数，按照当前最佳估计数对该账面价值进行调整。</w:t>
      </w:r>
    </w:p>
    <w:p>
      <w:pPr>
        <w:spacing w:line="360" w:lineRule="auto"/>
        <w:ind w:firstLine="420" w:firstLineChars="200"/>
        <w:rPr>
          <w:rFonts w:ascii="宋体" w:hAnsi="宋体"/>
          <w:color w:val="auto"/>
          <w:szCs w:val="21"/>
        </w:rPr>
      </w:pPr>
      <w:r>
        <w:rPr>
          <w:rFonts w:hint="eastAsia" w:ascii="宋体" w:hAnsi="宋体"/>
          <w:color w:val="auto"/>
          <w:szCs w:val="21"/>
        </w:rPr>
        <w:t>如果清偿预计负债所需支出全部或部分预期由第三方补偿的，补偿金额在基本确定能够收到时，作为资产单独确认，且确认的补偿金额不超过预计负债的账面价值。</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（三十二）股份支付</w:t>
      </w:r>
    </w:p>
    <w:p>
      <w:pPr>
        <w:spacing w:line="360" w:lineRule="auto"/>
        <w:ind w:firstLine="420" w:firstLineChars="200"/>
        <w:rPr>
          <w:rFonts w:ascii="宋体" w:hAnsi="宋体"/>
          <w:color w:val="auto"/>
          <w:szCs w:val="21"/>
        </w:rPr>
      </w:pPr>
      <w:r>
        <w:rPr>
          <w:rFonts w:hint="eastAsia" w:ascii="宋体" w:hAnsi="宋体"/>
          <w:color w:val="auto"/>
          <w:szCs w:val="21"/>
        </w:rPr>
        <w:t>本公司的股份支付是为了获取职工[或其他方]提供服务而授予权益工具或者承担以权益工具为基础确定的负债的交易。本公司的股份支付分为以权益结算的股份支付和以现金结算的股份支付。</w:t>
      </w:r>
    </w:p>
    <w:p>
      <w:pPr>
        <w:spacing w:line="360" w:lineRule="auto"/>
        <w:ind w:firstLine="420" w:firstLineChars="200"/>
        <w:rPr>
          <w:rFonts w:ascii="宋体" w:hAnsi="宋体"/>
          <w:color w:val="auto"/>
          <w:szCs w:val="21"/>
        </w:rPr>
      </w:pPr>
      <w:r>
        <w:rPr>
          <w:rFonts w:hint="eastAsia" w:ascii="宋体" w:hAnsi="宋体"/>
          <w:color w:val="auto"/>
          <w:szCs w:val="21"/>
        </w:rPr>
        <w:t>用以换取职工提供服务的以权益结算的股份支付，本公司以授予职工权益工具在授予日的公允价值计量。在等待期内每个资产负债表日，本公司根据最新取得的可行权职工人数变动 、是否达到规定业绩条件等后续信息对可行权权益工具数量作出最佳估计，以此为基础，按照授予日的公允价值，将当期取得的服务计入相关成本或费用，相应增加资本公积。在可行权日之后不再对已确认的相关成本或费用和所有者权益总额进行调整。但授予后立即可行权的，在授予日按照公允价值计入相关成本或费用，相应增加资本公积。</w:t>
      </w:r>
    </w:p>
    <w:p>
      <w:pPr>
        <w:spacing w:line="360" w:lineRule="auto"/>
        <w:ind w:firstLine="420" w:firstLineChars="200"/>
        <w:rPr>
          <w:rFonts w:ascii="宋体" w:hAnsi="宋体"/>
          <w:color w:val="auto"/>
          <w:szCs w:val="21"/>
        </w:rPr>
      </w:pPr>
      <w:r>
        <w:rPr>
          <w:rFonts w:hint="eastAsia" w:ascii="宋体" w:hAnsi="宋体"/>
          <w:color w:val="auto"/>
          <w:szCs w:val="21"/>
        </w:rPr>
        <w:t>以现金结算的股份支付，按照本公司承担的以股份或其他权益工具为基础确定的负债的公允价值计量。如授予后立即可行权，在授予日以承担负债的公允价值计入相关成本或费用，相应增加负债；如需完成等待期内的服务或达到规定业绩条件以后才可行权，在等待期的每个资产负债表日，以对可行权情况的最佳估计为基础，按照本公司承担负债的公允价值金额，将当期取得的服务计入成本或费用，相应调整负债。在相关负债结算前的每个资产负债表日以及结算日，对负债的公允价值重新计量，其变动计入当期损益。</w:t>
      </w:r>
    </w:p>
    <w:p>
      <w:pPr>
        <w:spacing w:line="360" w:lineRule="auto"/>
        <w:ind w:firstLine="420" w:firstLineChars="200"/>
        <w:rPr>
          <w:rFonts w:ascii="宋体" w:hAnsi="宋体"/>
          <w:color w:val="auto"/>
          <w:szCs w:val="21"/>
        </w:rPr>
      </w:pPr>
      <w:r>
        <w:rPr>
          <w:rFonts w:hint="eastAsia" w:ascii="宋体" w:hAnsi="宋体"/>
          <w:color w:val="auto"/>
          <w:szCs w:val="21"/>
        </w:rPr>
        <w:t xml:space="preserve">本公司对股份支付计划进行修改时，若修改增加了所授予权益工具的公允价值，按照权益工具公允价值的增加相应地确认取得服务的增加；若修改增加了所授予权益工具的数量，则将增加的权益工具的公允价值相应地确认为取得服务的增加。权益工具公允价值的增加是指修改前后的权益工具在修改日的公允价值之间的差额。如果公司按照有利于职工的方式修改可行权条件，如缩短等待期、变更或取消业绩条件（而非市场条件），公司在处理可行权条件时，应当考虑修改后的可行权条件。若修改减少了股份支付公允价值总额或采用了其他不利于职工的方式修改股份支付计划的条款和条件，则仍继续对取得的服务进行会计处理，视同该变更从未发生，除非本公司取消了部分或全部已授予的权益工具。 </w:t>
      </w:r>
    </w:p>
    <w:p>
      <w:pPr>
        <w:spacing w:line="360" w:lineRule="auto"/>
        <w:ind w:firstLine="420" w:firstLineChars="200"/>
        <w:rPr>
          <w:rFonts w:ascii="宋体" w:hAnsi="宋体"/>
          <w:color w:val="auto"/>
          <w:szCs w:val="21"/>
        </w:rPr>
      </w:pPr>
      <w:r>
        <w:rPr>
          <w:rFonts w:hint="eastAsia" w:ascii="宋体" w:hAnsi="宋体"/>
          <w:color w:val="auto"/>
          <w:szCs w:val="21"/>
        </w:rPr>
        <w:t>在等待期内，如果取消了授予的权益工具，本公司对取消所授予的权益性工具作为加速行权处理，将剩余等待期内应确认的金额立即计入当期损益，同时确认资本公积。职工或其他方能够选择满足非可行权条件但在等待期内未满足的，本公司将其作为授予权益工具的取消处理。</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（三十三）收入</w:t>
      </w:r>
    </w:p>
    <w:p>
      <w:pPr>
        <w:spacing w:line="360" w:lineRule="auto"/>
        <w:ind w:firstLine="420" w:firstLineChars="200"/>
        <w:rPr>
          <w:rFonts w:ascii="宋体" w:hAnsi="宋体"/>
          <w:color w:val="auto"/>
          <w:szCs w:val="21"/>
        </w:rPr>
      </w:pPr>
      <w:r>
        <w:rPr>
          <w:rFonts w:hint="eastAsia" w:ascii="宋体" w:hAnsi="宋体"/>
          <w:color w:val="auto"/>
          <w:szCs w:val="21"/>
        </w:rPr>
        <w:t>本公司与客户之间的合同同时满足下列条件时，在客户取得相关商品控制权时确认收入：合同各方已批准该合同并承诺将履行各自义务；合同明确了合同各方与所转让商品或提供劳务相关的权利和义务；合同有明确的与所转让商品相关的支付条款；合同具有商业实质，即履行该合同将改变公司未来现金流量的风险、时间分布或金额；公司因向客户转让商品而有权取得的对价很可能收回。</w:t>
      </w:r>
    </w:p>
    <w:p>
      <w:pPr>
        <w:spacing w:line="360" w:lineRule="auto"/>
        <w:ind w:firstLine="420" w:firstLineChars="200"/>
        <w:rPr>
          <w:rFonts w:ascii="宋体" w:hAnsi="宋体"/>
          <w:color w:val="auto"/>
          <w:szCs w:val="21"/>
        </w:rPr>
      </w:pPr>
      <w:r>
        <w:rPr>
          <w:rFonts w:hint="eastAsia" w:ascii="宋体" w:hAnsi="宋体"/>
          <w:color w:val="auto"/>
          <w:szCs w:val="21"/>
        </w:rPr>
        <w:t>在合同开始日，本公司识别合同中存在的各单项履约义务，并将交易价格按照各单项履约义务所承诺商品的单独售价的相对比例分摊至各单项履约义务。在确定交易价格时考虑了可变对价、合同中存在的重大融资成分、非现金对价、应付客户对价等因素的影响。</w:t>
      </w:r>
    </w:p>
    <w:p>
      <w:pPr>
        <w:spacing w:line="360" w:lineRule="auto"/>
        <w:ind w:firstLine="420" w:firstLineChars="200"/>
        <w:rPr>
          <w:rFonts w:ascii="宋体" w:hAnsi="宋体"/>
          <w:color w:val="auto"/>
          <w:szCs w:val="21"/>
        </w:rPr>
      </w:pPr>
      <w:r>
        <w:rPr>
          <w:rFonts w:hint="eastAsia" w:ascii="宋体" w:hAnsi="宋体"/>
          <w:color w:val="auto"/>
          <w:szCs w:val="21"/>
        </w:rPr>
        <w:t>对于合同中的每个单项履约义务，如果满足下列条件之一的，公司在相关履约时段内按照履约进度将分摊至该单项履约义务的交易价格确认为收入：客户在公司履约的同时即取得并消耗公司履约所带来的经济利益；客户能够控制公司履约过程中在建的商品；公司履约过程中所产出的商品具有不可替代用途，且公司在整个合同期间内有权就累计至今已完成的履约部分收取款项。履约进度根据所转让商品的性质采用投入法或产出法确定，当履约进度不能合理确定时，公司已经发生的成本预计能够得到补偿的，按照已经发生的成本金额确认收入，直到履约进度能够合理确定为止。</w:t>
      </w:r>
    </w:p>
    <w:p>
      <w:pPr>
        <w:spacing w:line="360" w:lineRule="auto"/>
        <w:ind w:firstLine="420" w:firstLineChars="200"/>
        <w:rPr>
          <w:rFonts w:ascii="宋体" w:hAnsi="宋体"/>
          <w:color w:val="auto"/>
          <w:szCs w:val="21"/>
        </w:rPr>
      </w:pPr>
      <w:r>
        <w:rPr>
          <w:rFonts w:hint="eastAsia" w:ascii="宋体" w:hAnsi="宋体"/>
          <w:color w:val="auto"/>
          <w:szCs w:val="21"/>
        </w:rPr>
        <w:t>如果不满足上述条件之一，则公司在客户取得相关商品控制权的时点将分摊至该单项履约义务的交易价格确认收入。在判断客户是否已取得商品控制权时，公司考虑下列迹象：企业就该商品享有现时收款权利，即客户就该商品负有现时付款义务；企业已将该商品的法定所有权转移给客户，即客户已拥有该商品的法定所有权；企业已将该商品实物转移给客户，即客户已实物占有该商品；企业已将该商品所有权上的主要风险和报酬转移给客户，即客户已取得该商品所有权上的主要风险和报酬；客户已接受该商品。其他表明客户已取得商品控制权的迹象。</w:t>
      </w:r>
    </w:p>
    <w:p>
      <w:pPr>
        <w:spacing w:line="360" w:lineRule="auto"/>
        <w:ind w:firstLine="420" w:firstLineChars="200"/>
        <w:rPr>
          <w:rFonts w:ascii="宋体" w:hAnsi="宋体"/>
          <w:color w:val="auto"/>
          <w:szCs w:val="21"/>
        </w:rPr>
      </w:pPr>
      <w:r>
        <w:rPr>
          <w:rFonts w:hint="eastAsia" w:ascii="宋体" w:hAnsi="宋体"/>
          <w:color w:val="auto"/>
          <w:szCs w:val="21"/>
        </w:rPr>
        <w:t>公司销售商品收入确认的具体原则为：</w:t>
      </w:r>
    </w:p>
    <w:p>
      <w:pPr>
        <w:spacing w:line="360" w:lineRule="auto"/>
        <w:ind w:firstLine="420" w:firstLineChars="200"/>
        <w:rPr>
          <w:rFonts w:ascii="宋体" w:hAnsi="宋体"/>
          <w:color w:val="auto"/>
          <w:szCs w:val="21"/>
        </w:rPr>
      </w:pPr>
      <w:r>
        <w:rPr>
          <w:rFonts w:hint="eastAsia" w:ascii="宋体" w:hAnsi="宋体"/>
          <w:color w:val="auto"/>
          <w:szCs w:val="21"/>
        </w:rPr>
        <w:t>外销销售收入确认：</w:t>
      </w:r>
    </w:p>
    <w:p>
      <w:pPr>
        <w:spacing w:line="360" w:lineRule="auto"/>
        <w:ind w:firstLine="420" w:firstLineChars="200"/>
        <w:rPr>
          <w:rFonts w:ascii="宋体" w:hAnsi="宋体"/>
          <w:color w:val="auto"/>
          <w:szCs w:val="21"/>
        </w:rPr>
      </w:pPr>
      <w:r>
        <w:rPr>
          <w:rFonts w:hint="eastAsia" w:ascii="宋体" w:hAnsi="宋体"/>
          <w:color w:val="auto"/>
          <w:szCs w:val="21"/>
        </w:rPr>
        <w:t>在销售定价交易模式为FOB和</w:t>
      </w:r>
      <w:r>
        <w:rPr>
          <w:rFonts w:ascii="宋体" w:hAnsi="宋体"/>
          <w:color w:val="auto"/>
          <w:szCs w:val="21"/>
        </w:rPr>
        <w:t>CFR</w:t>
      </w:r>
      <w:r>
        <w:rPr>
          <w:rFonts w:hint="eastAsia" w:ascii="宋体" w:hAnsi="宋体"/>
          <w:color w:val="auto"/>
          <w:szCs w:val="21"/>
        </w:rPr>
        <w:t>、CIF方式下,公司以货物装船,报关出口手续完成后控制权发生转移，确认收入的实现；在销售定价交易模式为EXW方式下，货物报关出口并交付给企业后控制权发生转移，确认收入的实现。</w:t>
      </w:r>
    </w:p>
    <w:p>
      <w:pPr>
        <w:spacing w:line="360" w:lineRule="auto"/>
        <w:ind w:firstLine="420" w:firstLineChars="200"/>
        <w:rPr>
          <w:rFonts w:ascii="宋体" w:hAnsi="宋体"/>
          <w:color w:val="auto"/>
          <w:szCs w:val="21"/>
        </w:rPr>
      </w:pPr>
      <w:r>
        <w:rPr>
          <w:rFonts w:hint="eastAsia" w:ascii="宋体" w:hAnsi="宋体"/>
          <w:color w:val="auto"/>
          <w:szCs w:val="21"/>
        </w:rPr>
        <w:t>国内销售收入确认：</w:t>
      </w:r>
    </w:p>
    <w:p>
      <w:pPr>
        <w:spacing w:line="360" w:lineRule="auto"/>
        <w:ind w:firstLine="420" w:firstLineChars="200"/>
        <w:rPr>
          <w:rFonts w:ascii="宋体" w:hAnsi="宋体"/>
          <w:color w:val="auto"/>
          <w:szCs w:val="21"/>
        </w:rPr>
      </w:pPr>
      <w:r>
        <w:rPr>
          <w:rFonts w:hint="eastAsia" w:ascii="宋体" w:hAnsi="宋体"/>
          <w:color w:val="auto"/>
          <w:szCs w:val="21"/>
        </w:rPr>
        <w:t>如需要检验或安装的，在客户接受商品并且检验或安装完毕时控制权发生转移，确认销售收入；无需检验或安装的，在产品出库且对方确认收到产品时控制权发生转移，确认销售收入。</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（三十四）政府补助</w:t>
      </w:r>
    </w:p>
    <w:p>
      <w:pPr>
        <w:spacing w:line="360" w:lineRule="auto"/>
        <w:ind w:firstLine="420" w:firstLineChars="200"/>
        <w:rPr>
          <w:rFonts w:ascii="宋体" w:hAnsi="宋体"/>
          <w:b/>
          <w:color w:val="auto"/>
        </w:rPr>
      </w:pPr>
      <w:r>
        <w:rPr>
          <w:rFonts w:hint="eastAsia" w:ascii="宋体" w:hAnsi="宋体"/>
          <w:b/>
          <w:color w:val="auto"/>
          <w:kern w:val="0"/>
        </w:rPr>
        <w:t>1、政府补助类型</w:t>
      </w:r>
    </w:p>
    <w:p>
      <w:pPr>
        <w:spacing w:line="360" w:lineRule="auto"/>
        <w:ind w:firstLine="420" w:firstLineChars="200"/>
        <w:rPr>
          <w:rFonts w:ascii="宋体" w:hAnsi="宋体"/>
          <w:color w:val="auto"/>
          <w:szCs w:val="21"/>
        </w:rPr>
      </w:pPr>
      <w:r>
        <w:rPr>
          <w:rFonts w:hint="eastAsia" w:ascii="宋体" w:hAnsi="宋体"/>
          <w:color w:val="auto"/>
          <w:szCs w:val="21"/>
        </w:rPr>
        <w:t>政府补助是指本公司从政府无偿取得的货币性资产或非货币性资产（但不包括政府作为所有者投入的资本），主要划分为与资产相关的政府补助和与收益相关的政府补助两种类型。政府补助为货币性资产的，按照收到或应收的金额计量。政府补助为非货币性资产的，按照公允价值计量；公允价值不能够可靠取得的，按照名义金额计量。按照名义金额计量的政府补助，直接计入当期损益。</w:t>
      </w:r>
    </w:p>
    <w:p>
      <w:pPr>
        <w:spacing w:line="360" w:lineRule="auto"/>
        <w:ind w:firstLine="420" w:firstLineChars="200"/>
        <w:rPr>
          <w:rFonts w:ascii="宋体" w:hAnsi="宋体"/>
          <w:b/>
          <w:color w:val="auto"/>
          <w:kern w:val="0"/>
        </w:rPr>
      </w:pPr>
      <w:r>
        <w:rPr>
          <w:rFonts w:hint="eastAsia" w:ascii="宋体" w:hAnsi="宋体"/>
          <w:b/>
          <w:color w:val="auto"/>
          <w:kern w:val="0"/>
        </w:rPr>
        <w:t>2、与资产相关的政府补助的会计处理方法</w:t>
      </w:r>
    </w:p>
    <w:p>
      <w:pPr>
        <w:spacing w:line="360" w:lineRule="auto"/>
        <w:ind w:firstLine="420" w:firstLineChars="200"/>
        <w:rPr>
          <w:rFonts w:ascii="宋体" w:hAnsi="宋体"/>
          <w:color w:val="auto"/>
          <w:szCs w:val="21"/>
        </w:rPr>
      </w:pPr>
      <w:r>
        <w:rPr>
          <w:rFonts w:ascii="宋体" w:hAnsi="宋体"/>
          <w:color w:val="auto"/>
          <w:szCs w:val="21"/>
        </w:rPr>
        <w:t>与资产相关的政府补助，是指本公司取得的、用于购建或以其他方式形成长期资产的政府补助。本公司对与资产相关的政府补助，冲减相关资产账面价值或确认为递延收益</w:t>
      </w:r>
      <w:r>
        <w:rPr>
          <w:rFonts w:hint="eastAsia" w:ascii="宋体" w:hAnsi="宋体"/>
          <w:color w:val="auto"/>
          <w:szCs w:val="21"/>
        </w:rPr>
        <w:t>，</w:t>
      </w:r>
      <w:r>
        <w:rPr>
          <w:rFonts w:ascii="宋体" w:hAnsi="宋体"/>
          <w:color w:val="auto"/>
          <w:szCs w:val="21"/>
        </w:rPr>
        <w:t>确认为递延收益的，在相关资产使用寿命内按照合理、系统的方法分期计入当期损益（与本公司日常活动相关的，计入其他收益；与本公司日常活动无关的，计入营业外收入）；</w:t>
      </w:r>
    </w:p>
    <w:p>
      <w:pPr>
        <w:spacing w:line="360" w:lineRule="auto"/>
        <w:ind w:firstLine="420" w:firstLineChars="200"/>
        <w:rPr>
          <w:rFonts w:ascii="宋体" w:hAnsi="宋体"/>
          <w:b/>
          <w:color w:val="auto"/>
          <w:kern w:val="0"/>
        </w:rPr>
      </w:pPr>
      <w:r>
        <w:rPr>
          <w:rFonts w:hint="eastAsia" w:ascii="宋体" w:hAnsi="宋体"/>
          <w:b/>
          <w:color w:val="auto"/>
          <w:kern w:val="0"/>
        </w:rPr>
        <w:t>3、与收益相关的政府补助的会计处理方法</w:t>
      </w:r>
    </w:p>
    <w:p>
      <w:pPr>
        <w:spacing w:line="360" w:lineRule="auto"/>
        <w:ind w:firstLine="420" w:firstLineChars="200"/>
        <w:rPr>
          <w:rFonts w:ascii="宋体" w:hAnsi="宋体"/>
          <w:color w:val="auto"/>
          <w:szCs w:val="21"/>
        </w:rPr>
      </w:pPr>
      <w:r>
        <w:rPr>
          <w:rFonts w:ascii="宋体" w:hAnsi="宋体"/>
          <w:color w:val="auto"/>
          <w:szCs w:val="21"/>
        </w:rPr>
        <w:t>与收益相关的政府补助，是指</w:t>
      </w:r>
      <w:r>
        <w:rPr>
          <w:rFonts w:hint="eastAsia" w:ascii="宋体" w:hAnsi="宋体"/>
          <w:color w:val="auto"/>
          <w:szCs w:val="21"/>
        </w:rPr>
        <w:t>本公司取得的</w:t>
      </w:r>
      <w:r>
        <w:rPr>
          <w:rFonts w:ascii="宋体" w:hAnsi="宋体"/>
          <w:color w:val="auto"/>
          <w:szCs w:val="21"/>
        </w:rPr>
        <w:t>除与资产相关的政府补助之外的政府补助。</w:t>
      </w:r>
      <w:r>
        <w:rPr>
          <w:rFonts w:hint="eastAsia" w:ascii="宋体" w:hAnsi="宋体"/>
          <w:color w:val="auto"/>
          <w:szCs w:val="21"/>
        </w:rPr>
        <w:t>本公司对</w:t>
      </w:r>
      <w:r>
        <w:rPr>
          <w:rFonts w:ascii="宋体" w:hAnsi="宋体"/>
          <w:color w:val="auto"/>
          <w:szCs w:val="21"/>
        </w:rPr>
        <w:t>与收益相关的政府补助，用于补偿</w:t>
      </w:r>
      <w:r>
        <w:rPr>
          <w:rFonts w:hint="eastAsia" w:ascii="宋体" w:hAnsi="宋体"/>
          <w:color w:val="auto"/>
          <w:szCs w:val="21"/>
        </w:rPr>
        <w:t>本</w:t>
      </w:r>
      <w:r>
        <w:rPr>
          <w:rFonts w:ascii="宋体" w:hAnsi="宋体"/>
          <w:color w:val="auto"/>
          <w:szCs w:val="21"/>
        </w:rPr>
        <w:t>公司以后期间的相关</w:t>
      </w:r>
      <w:r>
        <w:rPr>
          <w:rFonts w:hint="eastAsia" w:ascii="宋体" w:hAnsi="宋体"/>
          <w:color w:val="auto"/>
          <w:szCs w:val="21"/>
        </w:rPr>
        <w:t>成本</w:t>
      </w:r>
      <w:r>
        <w:rPr>
          <w:rFonts w:ascii="宋体" w:hAnsi="宋体"/>
          <w:color w:val="auto"/>
          <w:szCs w:val="21"/>
        </w:rPr>
        <w:t>费用或损失的，</w:t>
      </w:r>
      <w:r>
        <w:rPr>
          <w:rFonts w:hint="eastAsia" w:ascii="宋体" w:hAnsi="宋体"/>
          <w:color w:val="auto"/>
          <w:szCs w:val="21"/>
        </w:rPr>
        <w:t>确认</w:t>
      </w:r>
      <w:r>
        <w:rPr>
          <w:rFonts w:ascii="宋体" w:hAnsi="宋体"/>
          <w:color w:val="auto"/>
          <w:szCs w:val="21"/>
        </w:rPr>
        <w:t>为递延收益，</w:t>
      </w:r>
      <w:r>
        <w:rPr>
          <w:rFonts w:hint="eastAsia" w:ascii="宋体" w:hAnsi="宋体"/>
          <w:color w:val="auto"/>
          <w:szCs w:val="21"/>
        </w:rPr>
        <w:t>并在</w:t>
      </w:r>
      <w:r>
        <w:rPr>
          <w:rFonts w:ascii="宋体" w:hAnsi="宋体"/>
          <w:color w:val="auto"/>
          <w:szCs w:val="21"/>
        </w:rPr>
        <w:t>确认相关成本费用或损失的期间</w:t>
      </w:r>
      <w:r>
        <w:rPr>
          <w:rFonts w:hint="eastAsia" w:ascii="宋体" w:hAnsi="宋体"/>
          <w:color w:val="auto"/>
          <w:szCs w:val="21"/>
        </w:rPr>
        <w:t>，</w:t>
      </w:r>
      <w:r>
        <w:rPr>
          <w:rFonts w:ascii="宋体" w:hAnsi="宋体"/>
          <w:color w:val="auto"/>
          <w:szCs w:val="21"/>
        </w:rPr>
        <w:t>计入当期损益（</w:t>
      </w:r>
      <w:r>
        <w:rPr>
          <w:rFonts w:hint="eastAsia" w:ascii="宋体" w:hAnsi="宋体"/>
          <w:color w:val="auto"/>
          <w:szCs w:val="21"/>
        </w:rPr>
        <w:t>与</w:t>
      </w:r>
      <w:r>
        <w:rPr>
          <w:rFonts w:ascii="宋体" w:hAnsi="宋体"/>
          <w:color w:val="auto"/>
          <w:szCs w:val="21"/>
        </w:rPr>
        <w:t>本公司日常活动相关的，计入其他收益；与本公司日常活动无关的，计入营业外收入）</w:t>
      </w:r>
      <w:r>
        <w:rPr>
          <w:rFonts w:hint="eastAsia" w:ascii="宋体" w:hAnsi="宋体"/>
          <w:color w:val="auto"/>
          <w:szCs w:val="21"/>
        </w:rPr>
        <w:t>或</w:t>
      </w:r>
      <w:r>
        <w:rPr>
          <w:rFonts w:ascii="宋体" w:hAnsi="宋体"/>
          <w:color w:val="auto"/>
          <w:szCs w:val="21"/>
        </w:rPr>
        <w:t>冲减相关成本费用或损失；用于补偿</w:t>
      </w:r>
      <w:r>
        <w:rPr>
          <w:rFonts w:hint="eastAsia" w:ascii="宋体" w:hAnsi="宋体"/>
          <w:color w:val="auto"/>
          <w:szCs w:val="21"/>
        </w:rPr>
        <w:t>本</w:t>
      </w:r>
      <w:r>
        <w:rPr>
          <w:rFonts w:ascii="宋体" w:hAnsi="宋体"/>
          <w:color w:val="auto"/>
          <w:szCs w:val="21"/>
        </w:rPr>
        <w:t>公司已发生的相关</w:t>
      </w:r>
      <w:r>
        <w:rPr>
          <w:rFonts w:hint="eastAsia" w:ascii="宋体" w:hAnsi="宋体"/>
          <w:color w:val="auto"/>
          <w:szCs w:val="21"/>
        </w:rPr>
        <w:t>成本</w:t>
      </w:r>
      <w:r>
        <w:rPr>
          <w:rFonts w:ascii="宋体" w:hAnsi="宋体"/>
          <w:color w:val="auto"/>
          <w:szCs w:val="21"/>
        </w:rPr>
        <w:t>费用或损失的，直接计入当期</w:t>
      </w:r>
      <w:r>
        <w:rPr>
          <w:rFonts w:hint="eastAsia" w:ascii="宋体" w:hAnsi="宋体"/>
          <w:color w:val="auto"/>
          <w:szCs w:val="21"/>
        </w:rPr>
        <w:t>损益</w:t>
      </w:r>
      <w:r>
        <w:rPr>
          <w:rFonts w:ascii="宋体" w:hAnsi="宋体"/>
          <w:color w:val="auto"/>
          <w:szCs w:val="21"/>
        </w:rPr>
        <w:t>（</w:t>
      </w:r>
      <w:r>
        <w:rPr>
          <w:rFonts w:hint="eastAsia" w:ascii="宋体" w:hAnsi="宋体"/>
          <w:color w:val="auto"/>
          <w:szCs w:val="21"/>
        </w:rPr>
        <w:t>与</w:t>
      </w:r>
      <w:r>
        <w:rPr>
          <w:rFonts w:ascii="宋体" w:hAnsi="宋体"/>
          <w:color w:val="auto"/>
          <w:szCs w:val="21"/>
        </w:rPr>
        <w:t>本公司日常活动相关的，计入其他收益；与本公司日常活动无关的，计入营业外收入）或冲减相关成本费用或损失。</w:t>
      </w:r>
    </w:p>
    <w:p>
      <w:pPr>
        <w:spacing w:line="360" w:lineRule="auto"/>
        <w:ind w:firstLine="420" w:firstLineChars="200"/>
        <w:rPr>
          <w:rFonts w:ascii="宋体" w:hAnsi="宋体"/>
          <w:color w:val="auto"/>
          <w:szCs w:val="21"/>
        </w:rPr>
      </w:pPr>
      <w:r>
        <w:rPr>
          <w:rFonts w:hint="eastAsia" w:ascii="宋体" w:hAnsi="宋体"/>
          <w:color w:val="auto"/>
          <w:szCs w:val="21"/>
        </w:rPr>
        <w:t>本公司</w:t>
      </w:r>
      <w:r>
        <w:rPr>
          <w:rFonts w:ascii="宋体" w:hAnsi="宋体"/>
          <w:color w:val="auto"/>
          <w:szCs w:val="21"/>
        </w:rPr>
        <w:t>取得</w:t>
      </w:r>
      <w:r>
        <w:rPr>
          <w:rFonts w:hint="eastAsia" w:ascii="宋体" w:hAnsi="宋体"/>
          <w:color w:val="auto"/>
          <w:szCs w:val="21"/>
        </w:rPr>
        <w:t>的</w:t>
      </w:r>
      <w:r>
        <w:rPr>
          <w:rFonts w:ascii="宋体" w:hAnsi="宋体"/>
          <w:color w:val="auto"/>
          <w:szCs w:val="21"/>
        </w:rPr>
        <w:t>政策性优惠贷款贴息，区分以下两种</w:t>
      </w:r>
      <w:r>
        <w:rPr>
          <w:rFonts w:hint="eastAsia" w:ascii="宋体" w:hAnsi="宋体"/>
          <w:color w:val="auto"/>
          <w:szCs w:val="21"/>
        </w:rPr>
        <w:t>情况</w:t>
      </w:r>
      <w:r>
        <w:rPr>
          <w:rFonts w:ascii="宋体" w:hAnsi="宋体"/>
          <w:color w:val="auto"/>
          <w:szCs w:val="21"/>
        </w:rPr>
        <w:t>，分别进行会计处理：</w:t>
      </w:r>
    </w:p>
    <w:p>
      <w:pPr>
        <w:spacing w:line="360" w:lineRule="auto"/>
        <w:ind w:firstLine="420" w:firstLineChars="200"/>
        <w:rPr>
          <w:rFonts w:ascii="宋体" w:hAnsi="宋体"/>
          <w:color w:val="auto"/>
          <w:szCs w:val="21"/>
        </w:rPr>
      </w:pPr>
      <w:r>
        <w:rPr>
          <w:rFonts w:hint="eastAsia" w:ascii="宋体" w:hAnsi="宋体"/>
          <w:color w:val="auto"/>
          <w:szCs w:val="21"/>
        </w:rPr>
        <w:t>（1）财政将贴息资金拨付给贷款银行，由贷款银行以政策性优惠利率向本公司提供贷款的，本公司以实际收到的借款金额作为借款的入账价值，按照借款本金和该政策性优惠利率计算相关借款费用。</w:t>
      </w:r>
    </w:p>
    <w:p>
      <w:pPr>
        <w:spacing w:line="360" w:lineRule="auto"/>
        <w:ind w:firstLine="420" w:firstLineChars="200"/>
        <w:rPr>
          <w:rFonts w:ascii="宋体" w:hAnsi="宋体"/>
          <w:color w:val="auto"/>
          <w:szCs w:val="21"/>
        </w:rPr>
      </w:pPr>
      <w:r>
        <w:rPr>
          <w:rFonts w:hint="eastAsia" w:ascii="宋体" w:hAnsi="宋体"/>
          <w:color w:val="auto"/>
          <w:szCs w:val="21"/>
        </w:rPr>
        <w:t>（2）财政将贴息资金直接拨付给本公司的，本公司将对应的贴息冲减相关借款费用。</w:t>
      </w:r>
    </w:p>
    <w:p>
      <w:pPr>
        <w:spacing w:line="360" w:lineRule="auto"/>
        <w:ind w:firstLine="420" w:firstLineChars="200"/>
        <w:rPr>
          <w:rFonts w:ascii="宋体" w:hAnsi="宋体"/>
          <w:b/>
          <w:color w:val="auto"/>
          <w:kern w:val="0"/>
        </w:rPr>
      </w:pPr>
      <w:r>
        <w:rPr>
          <w:rFonts w:hint="eastAsia" w:ascii="宋体" w:hAnsi="宋体"/>
          <w:b/>
          <w:color w:val="auto"/>
          <w:kern w:val="0"/>
        </w:rPr>
        <w:t>4、区分与资产相关政府补助和与收益相关政府补助的具体标准</w:t>
      </w:r>
    </w:p>
    <w:p>
      <w:pPr>
        <w:spacing w:line="360" w:lineRule="auto"/>
        <w:ind w:firstLine="420" w:firstLineChars="200"/>
        <w:rPr>
          <w:rFonts w:ascii="宋体" w:hAnsi="宋体"/>
          <w:color w:val="auto"/>
          <w:szCs w:val="21"/>
        </w:rPr>
      </w:pPr>
      <w:r>
        <w:rPr>
          <w:rFonts w:hint="eastAsia" w:ascii="宋体" w:hAnsi="宋体"/>
          <w:color w:val="auto"/>
          <w:szCs w:val="21"/>
        </w:rPr>
        <w:t>企业取得的政府补助，用于补助长期资产购置、建造等直接相关支出，为与资产相关的政府补助。</w:t>
      </w:r>
    </w:p>
    <w:p>
      <w:pPr>
        <w:spacing w:line="360" w:lineRule="auto"/>
        <w:ind w:firstLine="420" w:firstLineChars="200"/>
        <w:rPr>
          <w:rFonts w:ascii="宋体" w:hAnsi="宋体"/>
          <w:color w:val="auto"/>
          <w:szCs w:val="21"/>
        </w:rPr>
      </w:pPr>
      <w:r>
        <w:rPr>
          <w:rFonts w:hint="eastAsia" w:ascii="宋体" w:hAnsi="宋体"/>
          <w:color w:val="auto"/>
          <w:szCs w:val="21"/>
        </w:rPr>
        <w:t>企业取得的政府补助，用于补助补偿的期间费用或损失的，为与收益相关的政府补助。</w:t>
      </w:r>
    </w:p>
    <w:p>
      <w:pPr>
        <w:spacing w:line="360" w:lineRule="auto"/>
        <w:ind w:firstLine="420" w:firstLineChars="200"/>
        <w:rPr>
          <w:rFonts w:ascii="宋体" w:hAnsi="宋体"/>
          <w:color w:val="auto"/>
          <w:szCs w:val="21"/>
        </w:rPr>
      </w:pPr>
      <w:r>
        <w:rPr>
          <w:rFonts w:hint="eastAsia" w:ascii="宋体" w:hAnsi="宋体"/>
          <w:color w:val="auto"/>
          <w:szCs w:val="21"/>
        </w:rPr>
        <w:t>企业取得的综合性项目补助，依据批准文件或申请文件将其划分为与资产相关的政府补助和与收益相关的政府补助。难以区分的，将政府补助整体归类为与收益相关的政府补助。</w:t>
      </w:r>
    </w:p>
    <w:p>
      <w:pPr>
        <w:spacing w:line="360" w:lineRule="auto"/>
        <w:ind w:firstLine="420" w:firstLineChars="200"/>
        <w:rPr>
          <w:rFonts w:ascii="宋体" w:hAnsi="宋体"/>
          <w:b/>
          <w:color w:val="auto"/>
          <w:kern w:val="0"/>
        </w:rPr>
      </w:pPr>
      <w:r>
        <w:rPr>
          <w:rFonts w:hint="eastAsia" w:ascii="宋体" w:hAnsi="宋体"/>
          <w:b/>
          <w:color w:val="auto"/>
          <w:kern w:val="0"/>
        </w:rPr>
        <w:t>5、政府补助的确认时点</w:t>
      </w:r>
    </w:p>
    <w:p>
      <w:pPr>
        <w:spacing w:line="360" w:lineRule="auto"/>
        <w:ind w:firstLine="420" w:firstLineChars="200"/>
        <w:rPr>
          <w:rFonts w:ascii="宋体" w:hAnsi="宋体"/>
          <w:color w:val="auto"/>
          <w:szCs w:val="21"/>
        </w:rPr>
      </w:pPr>
      <w:r>
        <w:rPr>
          <w:rFonts w:hint="eastAsia" w:ascii="宋体" w:hAnsi="宋体"/>
          <w:color w:val="auto"/>
          <w:szCs w:val="21"/>
        </w:rPr>
        <w:t>按照应收金额计量的政府补助，本公司在期末有确凿证据表明能够符合财政扶持政策规定的相关条件且预计能够收到财政扶持资金时予以确认。</w:t>
      </w:r>
    </w:p>
    <w:p>
      <w:pPr>
        <w:spacing w:line="360" w:lineRule="auto"/>
        <w:ind w:firstLine="420" w:firstLineChars="200"/>
        <w:rPr>
          <w:rFonts w:ascii="宋体" w:hAnsi="宋体"/>
          <w:color w:val="auto"/>
          <w:szCs w:val="21"/>
        </w:rPr>
      </w:pPr>
      <w:r>
        <w:rPr>
          <w:rFonts w:hint="eastAsia" w:ascii="宋体" w:hAnsi="宋体"/>
          <w:color w:val="auto"/>
          <w:szCs w:val="21"/>
        </w:rPr>
        <w:t>除按照应收金额计量的政府补助外的其他政府补助，本公司在实际收到补助款项时予以确认。</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（三十五）递延所得税资产、递延所得税负债</w:t>
      </w:r>
    </w:p>
    <w:p>
      <w:pPr>
        <w:spacing w:line="360" w:lineRule="auto"/>
        <w:ind w:firstLine="420" w:firstLineChars="200"/>
        <w:rPr>
          <w:rFonts w:ascii="宋体" w:hAnsi="宋体"/>
          <w:color w:val="auto"/>
          <w:szCs w:val="21"/>
        </w:rPr>
      </w:pPr>
      <w:r>
        <w:rPr>
          <w:rFonts w:ascii="宋体" w:hAnsi="宋体"/>
          <w:color w:val="auto"/>
          <w:szCs w:val="21"/>
        </w:rPr>
        <w:t>1</w:t>
      </w:r>
      <w:r>
        <w:rPr>
          <w:rFonts w:hint="eastAsia" w:ascii="宋体" w:hAnsi="宋体"/>
          <w:color w:val="auto"/>
          <w:szCs w:val="21"/>
        </w:rPr>
        <w:t>、公司根据资产、负债的账面价值与其计税基础之间的差额（未作为资产和负债确认的项目按照税法规定可以确定其计税基础的，该计税基础与其账面数之间的差额），按照预期收回该资产或清偿该负债期间的适用税率计算确认递延所得税资产或递延所得税负债。</w:t>
      </w:r>
    </w:p>
    <w:p>
      <w:pPr>
        <w:spacing w:line="360" w:lineRule="auto"/>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rPr>
        <w:t>、对于可抵扣暂时性差异确认递延所得税资产，以未来期间很可能取得的用来抵扣可抵扣暂时性差异的应纳税所得额为限。对于能够结转以后年度的可抵扣亏损和税款抵减，以很可能获得用来抵扣可抵扣亏损和税款抵减的未来应纳税所得额为限，确认相应的递延所得税资产。对于应纳税暂时性差异，除特殊情况外，确认递延所得税负债。</w:t>
      </w:r>
    </w:p>
    <w:p>
      <w:pPr>
        <w:spacing w:line="360" w:lineRule="auto"/>
        <w:ind w:firstLine="420" w:firstLineChars="200"/>
        <w:rPr>
          <w:rFonts w:ascii="宋体" w:hAnsi="宋体"/>
          <w:color w:val="auto"/>
          <w:szCs w:val="21"/>
        </w:rPr>
      </w:pPr>
      <w:r>
        <w:rPr>
          <w:rFonts w:ascii="宋体" w:hAnsi="宋体"/>
          <w:color w:val="auto"/>
          <w:szCs w:val="21"/>
        </w:rPr>
        <w:t>3</w:t>
      </w:r>
      <w:r>
        <w:rPr>
          <w:rFonts w:hint="eastAsia" w:ascii="宋体" w:hAnsi="宋体"/>
          <w:color w:val="auto"/>
          <w:szCs w:val="21"/>
        </w:rPr>
        <w:t>、递延所得税资产的确认以很可能取得用来抵扣可抵扣暂时性差异的应纳税所得额为限。资产负债表日，有确凿证据表明未来期间很可能获得足够的应纳税所得额用来抵扣可抵扣暂时性差异的，确认以前会计期间未确认的递延所得税资产。如未来期间很可能无法获得足够的应纳税所得额用以抵扣递延所得税资产的，则减记递延所得税资产的账面价值。</w:t>
      </w:r>
    </w:p>
    <w:p>
      <w:pPr>
        <w:spacing w:line="360" w:lineRule="auto"/>
        <w:ind w:firstLine="420" w:firstLineChars="200"/>
        <w:rPr>
          <w:rFonts w:ascii="宋体" w:hAnsi="宋体"/>
          <w:color w:val="auto"/>
          <w:szCs w:val="21"/>
        </w:rPr>
      </w:pPr>
      <w:r>
        <w:rPr>
          <w:rFonts w:ascii="宋体" w:hAnsi="宋体"/>
          <w:color w:val="auto"/>
          <w:szCs w:val="21"/>
        </w:rPr>
        <w:t>4</w:t>
      </w:r>
      <w:r>
        <w:rPr>
          <w:rFonts w:hint="eastAsia" w:ascii="宋体" w:hAnsi="宋体"/>
          <w:color w:val="auto"/>
          <w:szCs w:val="21"/>
        </w:rPr>
        <w:t>、对与子公司及联营企业投资相关的应纳税暂时性差异，确认递延所得税负债，除非本公司能够控制暂时性差异转回的时间且该暂时性差异在可预见的未来很可能不会转回。本公司对与子公司及联营企业投资相关的可抵扣暂时性差异，当该暂时性差异在可预见的未来很可能转回且未来很可能获得用来抵扣可抵扣暂时性差异的应纳税所得额时，确认递延所得税资产。</w:t>
      </w:r>
    </w:p>
    <w:p>
      <w:pPr>
        <w:spacing w:line="360" w:lineRule="auto"/>
        <w:ind w:firstLine="420" w:firstLineChars="200"/>
        <w:rPr>
          <w:rFonts w:ascii="宋体" w:hAnsi="宋体"/>
          <w:color w:val="auto"/>
          <w:szCs w:val="21"/>
        </w:rPr>
      </w:pPr>
      <w:r>
        <w:rPr>
          <w:rFonts w:hint="eastAsia" w:ascii="宋体" w:hAnsi="宋体"/>
          <w:color w:val="auto"/>
          <w:szCs w:val="21"/>
        </w:rPr>
        <w:t>5、对于商誉的初始确认产生的暂时性差异，不确认相应的递延所得税负债。对于既不影响会计利润也不影响应纳税所得额(或可抵扣亏损)的非企业合并的交易中产生的资产或负债的初始确认形成的暂时性差异，不确认相应的递延所得税资产和递延所得税负债。资产负债表日，本公司递延所得税资产和递延所得税负债按照预期收回该资产或清偿该负债期间的适用税率计量。</w:t>
      </w:r>
    </w:p>
    <w:p>
      <w:pPr>
        <w:spacing w:line="360" w:lineRule="auto"/>
        <w:ind w:firstLine="420" w:firstLineChars="200"/>
        <w:rPr>
          <w:rFonts w:ascii="宋体" w:hAnsi="宋体"/>
          <w:color w:val="auto"/>
          <w:szCs w:val="21"/>
        </w:rPr>
      </w:pPr>
      <w:r>
        <w:rPr>
          <w:rFonts w:hint="eastAsia" w:ascii="宋体" w:hAnsi="宋体"/>
          <w:color w:val="auto"/>
          <w:szCs w:val="21"/>
        </w:rPr>
        <w:t>6、同时满足下列条件的递延所得税资产和递延所得税负债以抵销后的净额列示：</w:t>
      </w:r>
    </w:p>
    <w:p>
      <w:pPr>
        <w:spacing w:line="360" w:lineRule="auto"/>
        <w:ind w:firstLine="420" w:firstLineChars="200"/>
        <w:rPr>
          <w:rFonts w:ascii="宋体" w:hAnsi="宋体"/>
          <w:color w:val="auto"/>
          <w:szCs w:val="21"/>
        </w:rPr>
      </w:pPr>
      <w:r>
        <w:rPr>
          <w:rFonts w:hint="eastAsia" w:ascii="宋体" w:hAnsi="宋体"/>
          <w:color w:val="auto"/>
          <w:szCs w:val="21"/>
        </w:rPr>
        <w:t>（1）递延所得税资产和递延所得税负债与同一税收征管部门对本公司内同一纳税主体征收的所得税相关；</w:t>
      </w:r>
    </w:p>
    <w:p>
      <w:pPr>
        <w:spacing w:line="360" w:lineRule="auto"/>
        <w:ind w:firstLine="420" w:firstLineChars="200"/>
        <w:rPr>
          <w:rFonts w:ascii="宋体" w:hAnsi="宋体"/>
          <w:color w:val="auto"/>
          <w:szCs w:val="21"/>
        </w:rPr>
      </w:pPr>
      <w:r>
        <w:rPr>
          <w:rFonts w:hint="eastAsia" w:ascii="宋体" w:hAnsi="宋体"/>
          <w:color w:val="auto"/>
          <w:szCs w:val="21"/>
        </w:rPr>
        <w:t>（2）本公司内该纳税主体拥有以净额结算当期所得税资产及当期所得税负债的法定权利。</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（三十六）租赁</w:t>
      </w:r>
    </w:p>
    <w:p>
      <w:pPr>
        <w:spacing w:line="360" w:lineRule="auto"/>
        <w:ind w:firstLine="420" w:firstLineChars="200"/>
        <w:rPr>
          <w:rFonts w:ascii="宋体" w:hAnsi="宋体"/>
          <w:color w:val="auto"/>
          <w:szCs w:val="21"/>
        </w:rPr>
      </w:pPr>
      <w:r>
        <w:rPr>
          <w:rFonts w:hint="eastAsia" w:ascii="宋体" w:hAnsi="宋体"/>
          <w:color w:val="auto"/>
          <w:szCs w:val="21"/>
        </w:rPr>
        <w:t>租赁，是指在一定期间内，出租人将资产的使用权让与承租人以获取对价的合同。</w:t>
      </w:r>
    </w:p>
    <w:p>
      <w:pPr>
        <w:spacing w:line="360" w:lineRule="auto"/>
        <w:ind w:firstLine="420" w:firstLineChars="200"/>
        <w:rPr>
          <w:rFonts w:ascii="宋体" w:hAnsi="宋体"/>
          <w:color w:val="auto"/>
          <w:szCs w:val="21"/>
        </w:rPr>
      </w:pPr>
      <w:r>
        <w:rPr>
          <w:rFonts w:hint="eastAsia" w:ascii="宋体" w:hAnsi="宋体"/>
          <w:color w:val="auto"/>
          <w:szCs w:val="21"/>
        </w:rPr>
        <w:t>在合同开始日/变更日，本公司评估该合同是否为租赁或者包含租赁。如果合同中一方让渡了在一定期间内控制一项或多项已识别资产使用的权利以换取对价，则该合同为租赁或者包含租赁。除非合同条款和条件发生变化，本公司不重新评估合同是否为租赁或者包含租赁。</w:t>
      </w:r>
    </w:p>
    <w:p>
      <w:pPr>
        <w:spacing w:line="360" w:lineRule="auto"/>
        <w:ind w:firstLine="420" w:firstLineChars="200"/>
        <w:rPr>
          <w:rFonts w:ascii="宋体" w:hAnsi="宋体"/>
          <w:color w:val="auto"/>
          <w:szCs w:val="21"/>
        </w:rPr>
      </w:pPr>
      <w:r>
        <w:rPr>
          <w:rFonts w:hint="eastAsia" w:ascii="宋体" w:hAnsi="宋体"/>
          <w:color w:val="auto"/>
          <w:szCs w:val="21"/>
        </w:rPr>
        <w:t>合同中同时包含多项单独租赁的，承租人和出租人将合同予以分拆，并分别各项单独租赁进行会计处理。合同中同时包含租赁和非租赁部分的，承租人和出租人将租赁和非租赁部分进行分拆。</w:t>
      </w:r>
    </w:p>
    <w:p>
      <w:pPr>
        <w:spacing w:line="360" w:lineRule="auto"/>
        <w:ind w:firstLine="420" w:firstLineChars="200"/>
        <w:rPr>
          <w:rFonts w:ascii="宋体" w:hAnsi="宋体"/>
          <w:color w:val="auto"/>
          <w:szCs w:val="21"/>
        </w:rPr>
      </w:pPr>
      <w:r>
        <w:rPr>
          <w:rFonts w:hint="eastAsia" w:ascii="宋体" w:hAnsi="宋体"/>
          <w:color w:val="auto"/>
          <w:szCs w:val="21"/>
        </w:rPr>
        <w:t>1、本公司作为承租人</w:t>
      </w:r>
    </w:p>
    <w:p>
      <w:pPr>
        <w:spacing w:line="360" w:lineRule="auto"/>
        <w:ind w:firstLine="420" w:firstLineChars="200"/>
        <w:rPr>
          <w:rFonts w:ascii="宋体" w:hAnsi="宋体"/>
          <w:color w:val="auto"/>
          <w:szCs w:val="21"/>
        </w:rPr>
      </w:pPr>
      <w:r>
        <w:rPr>
          <w:rFonts w:hint="eastAsia" w:ascii="宋体" w:hAnsi="宋体"/>
          <w:color w:val="auto"/>
          <w:szCs w:val="21"/>
        </w:rPr>
        <w:t>A、使用权资产</w:t>
      </w:r>
    </w:p>
    <w:p>
      <w:pPr>
        <w:spacing w:line="360" w:lineRule="auto"/>
        <w:ind w:firstLine="420" w:firstLineChars="200"/>
        <w:rPr>
          <w:rFonts w:ascii="宋体" w:hAnsi="宋体"/>
          <w:color w:val="auto"/>
          <w:szCs w:val="21"/>
        </w:rPr>
      </w:pPr>
      <w:r>
        <w:rPr>
          <w:rFonts w:hint="eastAsia" w:ascii="宋体" w:hAnsi="宋体"/>
          <w:color w:val="auto"/>
          <w:szCs w:val="21"/>
        </w:rPr>
        <w:t>使用权资产，是指本公司作为承租人可在租赁期内使用租赁资产的权利。在租赁期开始日，本公司作为承租人对租赁确认使用权资产和租赁负债，但简化处理的短期租赁和低价值资产租赁除外。</w:t>
      </w:r>
    </w:p>
    <w:p>
      <w:pPr>
        <w:spacing w:line="360" w:lineRule="auto"/>
        <w:ind w:firstLine="420" w:firstLineChars="200"/>
        <w:rPr>
          <w:rFonts w:ascii="宋体" w:hAnsi="宋体"/>
          <w:color w:val="auto"/>
          <w:szCs w:val="21"/>
        </w:rPr>
      </w:pPr>
      <w:r>
        <w:rPr>
          <w:rFonts w:hint="eastAsia" w:ascii="宋体" w:hAnsi="宋体"/>
          <w:color w:val="auto"/>
          <w:szCs w:val="21"/>
        </w:rPr>
        <w:t>本公司的使用权资产按照成本进行初始计量，该成本包括：</w:t>
      </w:r>
    </w:p>
    <w:p>
      <w:pPr>
        <w:spacing w:line="360" w:lineRule="auto"/>
        <w:ind w:firstLine="420" w:firstLineChars="200"/>
        <w:rPr>
          <w:rFonts w:ascii="宋体" w:hAnsi="宋体"/>
          <w:color w:val="auto"/>
          <w:szCs w:val="21"/>
        </w:rPr>
      </w:pPr>
      <w:r>
        <w:rPr>
          <w:rFonts w:hint="eastAsia" w:ascii="宋体" w:hAnsi="宋体"/>
          <w:color w:val="auto"/>
          <w:szCs w:val="21"/>
        </w:rPr>
        <w:t>a租赁负债的初始计量金额；</w:t>
      </w:r>
    </w:p>
    <w:p>
      <w:pPr>
        <w:spacing w:line="360" w:lineRule="auto"/>
        <w:ind w:firstLine="420" w:firstLineChars="200"/>
        <w:rPr>
          <w:rFonts w:ascii="宋体" w:hAnsi="宋体"/>
          <w:color w:val="auto"/>
          <w:szCs w:val="21"/>
        </w:rPr>
      </w:pPr>
      <w:r>
        <w:rPr>
          <w:rFonts w:hint="eastAsia" w:ascii="宋体" w:hAnsi="宋体"/>
          <w:color w:val="auto"/>
          <w:szCs w:val="21"/>
        </w:rPr>
        <w:t>b在租赁期开始日或之前支付的租赁付款额，存在租赁激励的，扣除已享受的租赁激励相关金额；</w:t>
      </w:r>
    </w:p>
    <w:p>
      <w:pPr>
        <w:spacing w:line="360" w:lineRule="auto"/>
        <w:ind w:firstLine="420" w:firstLineChars="200"/>
        <w:rPr>
          <w:rFonts w:ascii="宋体" w:hAnsi="宋体"/>
          <w:color w:val="auto"/>
          <w:szCs w:val="21"/>
        </w:rPr>
      </w:pPr>
      <w:r>
        <w:rPr>
          <w:rFonts w:hint="eastAsia" w:ascii="宋体" w:hAnsi="宋体"/>
          <w:color w:val="auto"/>
          <w:szCs w:val="21"/>
        </w:rPr>
        <w:t>c本公司作为承租人发生的初始直接费用；</w:t>
      </w:r>
    </w:p>
    <w:p>
      <w:pPr>
        <w:spacing w:line="360" w:lineRule="auto"/>
        <w:ind w:firstLine="420" w:firstLineChars="200"/>
        <w:rPr>
          <w:rFonts w:ascii="宋体" w:hAnsi="宋体"/>
          <w:color w:val="auto"/>
          <w:szCs w:val="21"/>
        </w:rPr>
      </w:pPr>
      <w:r>
        <w:rPr>
          <w:rFonts w:hint="eastAsia" w:ascii="宋体" w:hAnsi="宋体"/>
          <w:color w:val="auto"/>
          <w:szCs w:val="21"/>
        </w:rPr>
        <w:t>d本公司为拆卸及移除租赁资产、复原租赁资产所在场地或将租赁资产恢复至租赁条款约定状态预计将发生的成本。</w:t>
      </w:r>
    </w:p>
    <w:p>
      <w:pPr>
        <w:spacing w:line="360" w:lineRule="auto"/>
        <w:ind w:firstLine="420" w:firstLineChars="200"/>
        <w:rPr>
          <w:rFonts w:ascii="宋体" w:hAnsi="宋体"/>
          <w:color w:val="auto"/>
          <w:szCs w:val="21"/>
        </w:rPr>
      </w:pPr>
      <w:r>
        <w:rPr>
          <w:rFonts w:hint="eastAsia" w:ascii="宋体" w:hAnsi="宋体"/>
          <w:color w:val="auto"/>
          <w:szCs w:val="21"/>
        </w:rPr>
        <w:t>本公司采用平均年限法对使用权资产计提折旧。本公司能够合理确定租赁期届满时取得租赁资产所有权的，在租赁资产剩余使用寿命内计提折旧。无法合理确定租赁期届满时能够取得租赁资产所有权的，本公司在租赁期与租赁资产剩余使用寿命两者孰短的期间内计提折旧。</w:t>
      </w:r>
    </w:p>
    <w:p>
      <w:pPr>
        <w:spacing w:line="360" w:lineRule="auto"/>
        <w:ind w:firstLine="420" w:firstLineChars="200"/>
        <w:rPr>
          <w:rFonts w:ascii="宋体" w:hAnsi="宋体"/>
          <w:color w:val="auto"/>
          <w:szCs w:val="21"/>
        </w:rPr>
      </w:pPr>
      <w:r>
        <w:rPr>
          <w:rFonts w:hint="eastAsia" w:ascii="宋体" w:hAnsi="宋体"/>
          <w:color w:val="auto"/>
          <w:szCs w:val="21"/>
        </w:rPr>
        <w:t>本公司按照《企业会计准则第8号——资产减值》的规定，确定使用权资产是否发生减值，并对已识别的减值损失进行会计处理。</w:t>
      </w:r>
    </w:p>
    <w:p>
      <w:pPr>
        <w:spacing w:line="360" w:lineRule="auto"/>
        <w:ind w:firstLine="420" w:firstLineChars="200"/>
        <w:rPr>
          <w:rFonts w:ascii="宋体" w:hAnsi="宋体"/>
          <w:color w:val="auto"/>
          <w:szCs w:val="21"/>
        </w:rPr>
      </w:pPr>
      <w:r>
        <w:rPr>
          <w:rFonts w:hint="eastAsia" w:ascii="宋体" w:hAnsi="宋体"/>
          <w:color w:val="auto"/>
          <w:szCs w:val="21"/>
        </w:rPr>
        <w:t>本公司根据准则重新计量租赁负债时，相应调整使用权资产的账面价值。如使用权资产的账面价值已调减至零，但租赁负债仍需进一步调减的，将剩余金额计入当期损益。</w:t>
      </w:r>
    </w:p>
    <w:p>
      <w:pPr>
        <w:spacing w:line="360" w:lineRule="auto"/>
        <w:ind w:firstLine="420" w:firstLineChars="200"/>
        <w:rPr>
          <w:rFonts w:ascii="宋体" w:hAnsi="宋体"/>
          <w:color w:val="auto"/>
          <w:szCs w:val="21"/>
        </w:rPr>
      </w:pPr>
      <w:r>
        <w:rPr>
          <w:rFonts w:hint="eastAsia" w:ascii="宋体" w:hAnsi="宋体"/>
          <w:color w:val="auto"/>
          <w:szCs w:val="21"/>
        </w:rPr>
        <w:t>租赁变更导致租赁范围缩小或租赁期缩短的，本公司相应调减使用权资产的账面价值，并将部分终止或完全终止租赁的相关利得或损失计入当期损益。其他租赁变更导致租赁负债重新计量的，本公司相应调整使用权资产的账面价值。</w:t>
      </w:r>
    </w:p>
    <w:p>
      <w:pPr>
        <w:spacing w:line="360" w:lineRule="auto"/>
        <w:ind w:firstLine="420" w:firstLineChars="200"/>
        <w:rPr>
          <w:rFonts w:ascii="宋体" w:hAnsi="宋体"/>
          <w:color w:val="auto"/>
          <w:szCs w:val="21"/>
        </w:rPr>
      </w:pPr>
      <w:r>
        <w:rPr>
          <w:rFonts w:ascii="宋体" w:hAnsi="宋体"/>
          <w:color w:val="auto"/>
          <w:szCs w:val="21"/>
        </w:rPr>
        <w:t>B</w:t>
      </w:r>
      <w:r>
        <w:rPr>
          <w:rFonts w:hint="eastAsia" w:ascii="宋体" w:hAnsi="宋体"/>
          <w:color w:val="auto"/>
          <w:szCs w:val="21"/>
        </w:rPr>
        <w:t>、租赁负债</w:t>
      </w:r>
    </w:p>
    <w:p>
      <w:pPr>
        <w:spacing w:line="360" w:lineRule="auto"/>
        <w:ind w:firstLine="420" w:firstLineChars="200"/>
        <w:rPr>
          <w:rFonts w:ascii="宋体" w:hAnsi="宋体"/>
          <w:color w:val="auto"/>
          <w:szCs w:val="21"/>
        </w:rPr>
      </w:pPr>
      <w:r>
        <w:rPr>
          <w:rFonts w:hint="eastAsia" w:ascii="宋体" w:hAnsi="宋体"/>
          <w:color w:val="auto"/>
          <w:szCs w:val="21"/>
        </w:rPr>
        <w:t>在租赁期开始日，本公司作为承租人对租赁确认使用权资产和租赁负债，但简化处理的短期租赁和低价值资产租赁除外。本公司的租赁负债按照租赁期开始日尚未支付的租赁付款额的现值进行初始计量。</w:t>
      </w:r>
    </w:p>
    <w:p>
      <w:pPr>
        <w:spacing w:line="360" w:lineRule="auto"/>
        <w:ind w:firstLine="420" w:firstLineChars="200"/>
        <w:rPr>
          <w:rFonts w:ascii="宋体" w:hAnsi="宋体"/>
          <w:color w:val="auto"/>
          <w:szCs w:val="21"/>
        </w:rPr>
      </w:pPr>
      <w:r>
        <w:rPr>
          <w:rFonts w:hint="eastAsia" w:ascii="宋体" w:hAnsi="宋体"/>
          <w:color w:val="auto"/>
          <w:szCs w:val="21"/>
        </w:rPr>
        <w:t>在计算租赁付款额的现值时，本公司采用租赁内含利率作为折现率；无法确定租赁内含利率的，采用本公司（即承租人）增量借款利率作为折现率。</w:t>
      </w:r>
    </w:p>
    <w:p>
      <w:pPr>
        <w:spacing w:line="360" w:lineRule="auto"/>
        <w:ind w:firstLine="420" w:firstLineChars="200"/>
        <w:rPr>
          <w:rFonts w:ascii="宋体" w:hAnsi="宋体"/>
          <w:color w:val="auto"/>
          <w:szCs w:val="21"/>
        </w:rPr>
      </w:pPr>
      <w:r>
        <w:rPr>
          <w:rFonts w:hint="eastAsia" w:ascii="宋体" w:hAnsi="宋体"/>
          <w:color w:val="auto"/>
          <w:szCs w:val="21"/>
        </w:rPr>
        <w:t>租赁内含利率，是指使出租人的租赁收款额的现值与未担保余值的现值之和等于租赁资产公允价值与出租人的初始直接费用之和的利率。承租人增量借款利率，是指本公司作为承租人在类似经济环境下为获得与使用权资产价值接近的资产，在类似期间以类似抵押条件借入资金须支付的利率。</w:t>
      </w:r>
    </w:p>
    <w:p>
      <w:pPr>
        <w:spacing w:line="360" w:lineRule="auto"/>
        <w:ind w:firstLine="420" w:firstLineChars="200"/>
        <w:rPr>
          <w:rFonts w:ascii="宋体" w:hAnsi="宋体"/>
          <w:color w:val="auto"/>
          <w:szCs w:val="21"/>
        </w:rPr>
      </w:pPr>
      <w:r>
        <w:rPr>
          <w:rFonts w:hint="eastAsia" w:ascii="宋体" w:hAnsi="宋体"/>
          <w:color w:val="auto"/>
          <w:szCs w:val="21"/>
        </w:rPr>
        <w:t>本公司按照固定的周期性利率计算租赁负债在租赁期内各期间的利息费用，并计入当期损益或资产成本。</w:t>
      </w:r>
    </w:p>
    <w:p>
      <w:pPr>
        <w:spacing w:line="360" w:lineRule="auto"/>
        <w:ind w:firstLine="420" w:firstLineChars="200"/>
        <w:rPr>
          <w:rFonts w:ascii="宋体" w:hAnsi="宋体"/>
          <w:color w:val="auto"/>
          <w:szCs w:val="21"/>
        </w:rPr>
      </w:pPr>
      <w:r>
        <w:rPr>
          <w:rFonts w:hint="eastAsia" w:ascii="宋体" w:hAnsi="宋体"/>
          <w:color w:val="auto"/>
          <w:szCs w:val="21"/>
        </w:rPr>
        <w:t>在租赁期开始日后，本公司续租选择权、终止租赁选择权或购买选择权评估结果发生变化的，重新确定租赁付款额，并按变动后租赁付款额和修订后的折现率计算的现值重新计量租赁负债：</w:t>
      </w:r>
    </w:p>
    <w:p>
      <w:pPr>
        <w:spacing w:line="360" w:lineRule="auto"/>
        <w:ind w:firstLine="420" w:firstLineChars="200"/>
        <w:rPr>
          <w:rFonts w:ascii="宋体" w:hAnsi="宋体"/>
          <w:color w:val="auto"/>
          <w:szCs w:val="21"/>
        </w:rPr>
      </w:pPr>
      <w:r>
        <w:rPr>
          <w:rFonts w:hint="eastAsia" w:ascii="宋体" w:hAnsi="宋体"/>
          <w:color w:val="auto"/>
          <w:szCs w:val="21"/>
        </w:rPr>
        <w:t>在租赁期开始日后，根据担保余值预计的应付金额发生变动，或者因用于确定租赁付款额的指数或比率变动而导致未来租赁付款额发生变动的，本公司按照变动后租赁付款额的现值重新计量租赁负债。在这些情形下，本公司采用的折现率不变；但是，租赁付款额的变动源自浮动利率变动的，使用修订后的折现率。</w:t>
      </w:r>
    </w:p>
    <w:p>
      <w:pPr>
        <w:spacing w:line="360" w:lineRule="auto"/>
        <w:ind w:firstLine="420" w:firstLineChars="200"/>
        <w:rPr>
          <w:rFonts w:ascii="宋体" w:hAnsi="宋体"/>
          <w:color w:val="auto"/>
          <w:szCs w:val="21"/>
        </w:rPr>
      </w:pPr>
      <w:r>
        <w:rPr>
          <w:rFonts w:ascii="宋体" w:hAnsi="宋体"/>
          <w:color w:val="auto"/>
          <w:szCs w:val="21"/>
        </w:rPr>
        <w:t>C</w:t>
      </w:r>
      <w:r>
        <w:rPr>
          <w:rFonts w:hint="eastAsia" w:ascii="宋体" w:hAnsi="宋体"/>
          <w:color w:val="auto"/>
          <w:szCs w:val="21"/>
        </w:rPr>
        <w:t>、短期租赁和低价值资产租赁</w:t>
      </w:r>
    </w:p>
    <w:p>
      <w:pPr>
        <w:spacing w:line="360" w:lineRule="auto"/>
        <w:ind w:firstLine="420" w:firstLineChars="200"/>
        <w:rPr>
          <w:rFonts w:ascii="宋体" w:hAnsi="宋体"/>
          <w:color w:val="auto"/>
          <w:szCs w:val="21"/>
        </w:rPr>
      </w:pPr>
      <w:r>
        <w:rPr>
          <w:rFonts w:hint="eastAsia" w:ascii="宋体" w:hAnsi="宋体"/>
          <w:color w:val="auto"/>
          <w:szCs w:val="21"/>
        </w:rPr>
        <w:t>本公司对短期租赁以及低价值资产租赁，选择不确认使用权资产和租赁负债。短期租赁，是指在租赁期开始日，租赁期不超过 12 个月且不包含购买选择权的租赁。低价值资产租赁，是指单项租赁资产为全新资产时价值较低的租赁。本公司将短期租赁和低价值资产租赁的租赁付款额，在租赁期内各个期间按照直线法计入当期损益或相关资产成本。</w:t>
      </w:r>
    </w:p>
    <w:p>
      <w:pPr>
        <w:spacing w:line="360" w:lineRule="auto"/>
        <w:ind w:firstLine="420" w:firstLineChars="200"/>
        <w:rPr>
          <w:rFonts w:ascii="宋体" w:hAnsi="宋体"/>
          <w:color w:val="auto"/>
          <w:szCs w:val="21"/>
        </w:rPr>
      </w:pPr>
      <w:r>
        <w:rPr>
          <w:rFonts w:ascii="宋体" w:hAnsi="宋体"/>
          <w:color w:val="auto"/>
          <w:szCs w:val="21"/>
        </w:rPr>
        <w:t>D</w:t>
      </w:r>
      <w:r>
        <w:rPr>
          <w:rFonts w:hint="eastAsia" w:ascii="宋体" w:hAnsi="宋体"/>
          <w:color w:val="auto"/>
          <w:szCs w:val="21"/>
        </w:rPr>
        <w:t>、租赁变更</w:t>
      </w:r>
    </w:p>
    <w:p>
      <w:pPr>
        <w:spacing w:line="360" w:lineRule="auto"/>
        <w:ind w:firstLine="420" w:firstLineChars="200"/>
        <w:rPr>
          <w:rFonts w:ascii="宋体" w:hAnsi="宋体"/>
          <w:color w:val="auto"/>
          <w:szCs w:val="21"/>
        </w:rPr>
      </w:pPr>
      <w:r>
        <w:rPr>
          <w:rFonts w:hint="eastAsia" w:ascii="宋体" w:hAnsi="宋体"/>
          <w:color w:val="auto"/>
          <w:szCs w:val="21"/>
        </w:rPr>
        <w:t>租赁发生变更且同时符合下列条件的，本公司将该租赁变更作为一项单独租赁进行会计处理：</w:t>
      </w:r>
    </w:p>
    <w:p>
      <w:pPr>
        <w:spacing w:line="360" w:lineRule="auto"/>
        <w:ind w:firstLine="420" w:firstLineChars="200"/>
        <w:rPr>
          <w:rFonts w:ascii="宋体" w:hAnsi="宋体"/>
          <w:color w:val="auto"/>
          <w:szCs w:val="21"/>
        </w:rPr>
      </w:pPr>
      <w:r>
        <w:rPr>
          <w:rFonts w:hint="eastAsia" w:ascii="宋体" w:hAnsi="宋体"/>
          <w:color w:val="auto"/>
          <w:szCs w:val="21"/>
        </w:rPr>
        <w:t>a、该租赁变更通过增加一项或多项租赁资产的使用权而扩大了租赁范围；</w:t>
      </w:r>
    </w:p>
    <w:p>
      <w:pPr>
        <w:spacing w:line="360" w:lineRule="auto"/>
        <w:ind w:firstLine="420" w:firstLineChars="200"/>
        <w:rPr>
          <w:rFonts w:ascii="宋体" w:hAnsi="宋体"/>
          <w:color w:val="auto"/>
          <w:szCs w:val="21"/>
        </w:rPr>
      </w:pPr>
      <w:r>
        <w:rPr>
          <w:rFonts w:hint="eastAsia" w:ascii="宋体" w:hAnsi="宋体"/>
          <w:color w:val="auto"/>
          <w:szCs w:val="21"/>
        </w:rPr>
        <w:t>b、增加的对价与租赁范围扩大部分的单独价格按该合同情况调整后的金额相当。</w:t>
      </w:r>
    </w:p>
    <w:p>
      <w:pPr>
        <w:spacing w:line="360" w:lineRule="auto"/>
        <w:ind w:firstLine="420" w:firstLineChars="200"/>
        <w:rPr>
          <w:rFonts w:ascii="宋体" w:hAnsi="宋体"/>
          <w:color w:val="auto"/>
          <w:szCs w:val="21"/>
        </w:rPr>
      </w:pPr>
      <w:r>
        <w:rPr>
          <w:rFonts w:hint="eastAsia" w:ascii="宋体" w:hAnsi="宋体"/>
          <w:color w:val="auto"/>
          <w:szCs w:val="21"/>
        </w:rPr>
        <w:t>租赁变更未作为一项单独租赁进行会计处理的，在租赁变更生效日，本公司重新分摊变更后合同的对价，重新确定租赁期，并按照变更后租赁付款额和修订后的折现率计算的现值重新计量租赁负债。</w:t>
      </w:r>
    </w:p>
    <w:p>
      <w:pPr>
        <w:spacing w:line="360" w:lineRule="auto"/>
        <w:ind w:firstLine="420" w:firstLineChars="200"/>
        <w:rPr>
          <w:rFonts w:ascii="宋体" w:hAnsi="宋体"/>
          <w:color w:val="auto"/>
          <w:szCs w:val="21"/>
        </w:rPr>
      </w:pPr>
      <w:r>
        <w:rPr>
          <w:rFonts w:hint="eastAsia" w:ascii="宋体" w:hAnsi="宋体"/>
          <w:color w:val="auto"/>
          <w:szCs w:val="21"/>
        </w:rPr>
        <w:t>租赁变更导致租赁范围缩小或租赁期缩短的，本公司相应调减使用权资产的账面价值，并将部分终止或完全终止租赁的相关利得或损失计入当期损益。其他租赁变更导致租赁负债重新计量的，本公司相应调整使用权资产的账面价值。</w:t>
      </w:r>
    </w:p>
    <w:p>
      <w:pPr>
        <w:spacing w:line="360" w:lineRule="auto"/>
        <w:ind w:firstLine="420" w:firstLineChars="200"/>
        <w:rPr>
          <w:rFonts w:ascii="宋体" w:hAnsi="宋体"/>
          <w:color w:val="auto"/>
          <w:szCs w:val="21"/>
        </w:rPr>
      </w:pPr>
      <w:r>
        <w:rPr>
          <w:rFonts w:hint="eastAsia" w:ascii="宋体" w:hAnsi="宋体"/>
          <w:color w:val="auto"/>
          <w:szCs w:val="21"/>
        </w:rPr>
        <w:t>2、本公司作为出租人</w:t>
      </w:r>
    </w:p>
    <w:p>
      <w:pPr>
        <w:spacing w:line="360" w:lineRule="auto"/>
        <w:ind w:firstLine="420" w:firstLineChars="200"/>
        <w:rPr>
          <w:rFonts w:ascii="宋体" w:hAnsi="宋体"/>
          <w:color w:val="auto"/>
          <w:szCs w:val="21"/>
        </w:rPr>
      </w:pPr>
      <w:r>
        <w:rPr>
          <w:rFonts w:ascii="宋体" w:hAnsi="宋体"/>
          <w:color w:val="auto"/>
          <w:szCs w:val="21"/>
        </w:rPr>
        <w:t>A</w:t>
      </w:r>
      <w:r>
        <w:rPr>
          <w:rFonts w:hint="eastAsia" w:ascii="宋体" w:hAnsi="宋体"/>
          <w:color w:val="auto"/>
          <w:szCs w:val="21"/>
        </w:rPr>
        <w:t>、租赁的分类</w:t>
      </w:r>
    </w:p>
    <w:p>
      <w:pPr>
        <w:spacing w:line="360" w:lineRule="auto"/>
        <w:ind w:firstLine="420" w:firstLineChars="200"/>
        <w:rPr>
          <w:rFonts w:ascii="宋体" w:hAnsi="宋体"/>
          <w:color w:val="auto"/>
          <w:szCs w:val="21"/>
        </w:rPr>
      </w:pPr>
      <w:r>
        <w:rPr>
          <w:rFonts w:hint="eastAsia" w:ascii="宋体" w:hAnsi="宋体"/>
          <w:color w:val="auto"/>
          <w:szCs w:val="21"/>
        </w:rPr>
        <w:t>在租赁开始日，本公司作为出租人将租赁分为融资租赁和经营租赁。融资租赁，是指无论所有权最终是否转移，但实质上转移了与租赁资产所有权有关的几乎全部风险和报酬的租赁。经营租赁，是指除融资租赁以外的其他租赁。本公司作为转租出租人时，基于原租赁产生的使用权资产对转租赁进行分类。</w:t>
      </w:r>
    </w:p>
    <w:p>
      <w:pPr>
        <w:spacing w:line="360" w:lineRule="auto"/>
        <w:ind w:firstLine="420" w:firstLineChars="200"/>
        <w:rPr>
          <w:rFonts w:ascii="宋体" w:hAnsi="宋体"/>
          <w:color w:val="auto"/>
          <w:szCs w:val="21"/>
        </w:rPr>
      </w:pPr>
      <w:r>
        <w:rPr>
          <w:rFonts w:ascii="宋体" w:hAnsi="宋体"/>
          <w:color w:val="auto"/>
          <w:szCs w:val="21"/>
        </w:rPr>
        <w:t>B</w:t>
      </w:r>
      <w:r>
        <w:rPr>
          <w:rFonts w:hint="eastAsia" w:ascii="宋体" w:hAnsi="宋体"/>
          <w:color w:val="auto"/>
          <w:szCs w:val="21"/>
        </w:rPr>
        <w:t>、本公司作为出租人记录经营租赁业务</w:t>
      </w:r>
    </w:p>
    <w:p>
      <w:pPr>
        <w:spacing w:line="360" w:lineRule="auto"/>
        <w:ind w:firstLine="420" w:firstLineChars="200"/>
        <w:rPr>
          <w:rFonts w:ascii="宋体" w:hAnsi="宋体"/>
          <w:color w:val="auto"/>
          <w:szCs w:val="21"/>
        </w:rPr>
      </w:pPr>
      <w:r>
        <w:rPr>
          <w:rFonts w:hint="eastAsia" w:ascii="宋体" w:hAnsi="宋体"/>
          <w:color w:val="auto"/>
          <w:szCs w:val="21"/>
        </w:rPr>
        <w:t>在租赁期内各个期间，本公司采用直线法将经营租赁的租赁收款额确认为租金收入。本公司发生的与经营租赁有关的初始直接费用于发生时予以资本化，在租赁期内按照与租金收入确认相同的基础进行分摊，分期计入当期损益。本公司取得的与经营租赁有关的未计入租赁收款额的可变租赁收款额，在实际发生时计入当期损益。</w:t>
      </w:r>
    </w:p>
    <w:p>
      <w:pPr>
        <w:spacing w:line="360" w:lineRule="auto"/>
        <w:ind w:firstLine="420" w:firstLineChars="200"/>
        <w:rPr>
          <w:rFonts w:ascii="宋体" w:hAnsi="宋体"/>
          <w:color w:val="auto"/>
          <w:szCs w:val="21"/>
        </w:rPr>
      </w:pPr>
      <w:r>
        <w:rPr>
          <w:rFonts w:ascii="宋体" w:hAnsi="宋体"/>
          <w:color w:val="auto"/>
          <w:szCs w:val="21"/>
        </w:rPr>
        <w:t>C</w:t>
      </w:r>
      <w:r>
        <w:rPr>
          <w:rFonts w:hint="eastAsia" w:ascii="宋体" w:hAnsi="宋体"/>
          <w:color w:val="auto"/>
          <w:szCs w:val="21"/>
        </w:rPr>
        <w:t>、融资租赁的会计处理方法</w:t>
      </w:r>
    </w:p>
    <w:p>
      <w:pPr>
        <w:spacing w:line="360" w:lineRule="auto"/>
        <w:ind w:firstLine="420" w:firstLineChars="200"/>
        <w:rPr>
          <w:rFonts w:ascii="宋体" w:hAnsi="宋体"/>
          <w:color w:val="auto"/>
          <w:szCs w:val="21"/>
        </w:rPr>
      </w:pPr>
      <w:r>
        <w:rPr>
          <w:rFonts w:hint="eastAsia" w:ascii="宋体" w:hAnsi="宋体"/>
          <w:color w:val="auto"/>
          <w:szCs w:val="21"/>
        </w:rPr>
        <w:t>于租赁期开始日，本公司对融资租赁确认应收融资租赁款，并终止确认相关资产。本公司对应收融资租赁款进行初始计量时，将租赁投资净额作为应收融资租赁款的入账价值。租赁投资净额为未担保余值和租赁期开始日尚未收到的租赁收款额按照租赁内含利率折现的现值之和。</w:t>
      </w:r>
    </w:p>
    <w:p>
      <w:pPr>
        <w:spacing w:line="360" w:lineRule="auto"/>
        <w:ind w:firstLine="420" w:firstLineChars="200"/>
        <w:rPr>
          <w:rFonts w:ascii="宋体" w:hAnsi="宋体"/>
          <w:color w:val="auto"/>
          <w:szCs w:val="21"/>
        </w:rPr>
      </w:pPr>
      <w:r>
        <w:rPr>
          <w:rFonts w:hint="eastAsia" w:ascii="宋体" w:hAnsi="宋体"/>
          <w:color w:val="auto"/>
          <w:szCs w:val="21"/>
        </w:rPr>
        <w:t>本公司按照固定的周期性利率计算并确认租赁期内各个期间的利息收入。应收融资租赁款的终止确认和减值按照本附注“（十）金融工具”进行会计处理。未纳入租赁投资净额计量的可变租赁付款额在实际发生时计入当期损益。</w:t>
      </w:r>
    </w:p>
    <w:p>
      <w:pPr>
        <w:spacing w:line="360" w:lineRule="auto"/>
        <w:ind w:firstLine="420" w:firstLineChars="200"/>
        <w:rPr>
          <w:rFonts w:ascii="宋体" w:hAnsi="宋体"/>
          <w:color w:val="auto"/>
          <w:szCs w:val="21"/>
        </w:rPr>
      </w:pPr>
      <w:r>
        <w:rPr>
          <w:rFonts w:hint="eastAsia" w:ascii="宋体" w:hAnsi="宋体"/>
          <w:color w:val="auto"/>
          <w:szCs w:val="21"/>
        </w:rPr>
        <w:t>本公司作为生产商或经销商并作为出租人的融资租赁，在租赁期开始日，本公司按照租赁资产公允价值与租赁收款额按市场利率折现的现值两者孰低确认收入，并按照租赁资产账面价值扣除未担保余值的现值后的余额结转销售成本。本公司作为生产商或经销商并作为出租人为取得融资租赁发生的成本，在租赁期开始日计入当期损益。</w:t>
      </w:r>
    </w:p>
    <w:p>
      <w:pPr>
        <w:spacing w:line="360" w:lineRule="auto"/>
        <w:ind w:firstLine="420" w:firstLineChars="200"/>
        <w:rPr>
          <w:rFonts w:ascii="宋体" w:hAnsi="宋体"/>
          <w:color w:val="auto"/>
          <w:szCs w:val="21"/>
        </w:rPr>
      </w:pPr>
      <w:r>
        <w:rPr>
          <w:rFonts w:hint="eastAsia" w:ascii="宋体" w:hAnsi="宋体"/>
          <w:color w:val="auto"/>
          <w:szCs w:val="21"/>
        </w:rPr>
        <w:t>D租赁变更</w:t>
      </w:r>
    </w:p>
    <w:p>
      <w:pPr>
        <w:spacing w:line="360" w:lineRule="auto"/>
        <w:ind w:firstLine="420" w:firstLineChars="200"/>
        <w:rPr>
          <w:rFonts w:ascii="宋体" w:hAnsi="宋体"/>
          <w:color w:val="auto"/>
          <w:szCs w:val="21"/>
        </w:rPr>
      </w:pPr>
      <w:r>
        <w:rPr>
          <w:rFonts w:hint="eastAsia" w:ascii="宋体" w:hAnsi="宋体"/>
          <w:color w:val="auto"/>
          <w:szCs w:val="21"/>
        </w:rPr>
        <w:t>本公司作为出租人的融资租赁发生变更且同时符合下列条件的，本公司将该变更作为一项单独租赁进行会计处理：</w:t>
      </w:r>
    </w:p>
    <w:p>
      <w:pPr>
        <w:spacing w:line="360" w:lineRule="auto"/>
        <w:ind w:firstLine="420" w:firstLineChars="200"/>
        <w:rPr>
          <w:rFonts w:ascii="宋体" w:hAnsi="宋体"/>
          <w:color w:val="auto"/>
          <w:szCs w:val="21"/>
        </w:rPr>
      </w:pPr>
      <w:r>
        <w:rPr>
          <w:rFonts w:hint="eastAsia" w:ascii="宋体" w:hAnsi="宋体"/>
          <w:color w:val="auto"/>
          <w:szCs w:val="21"/>
        </w:rPr>
        <w:t>a.该变更通过增加一项或多项租赁资产的使用权而扩大了租赁范围；</w:t>
      </w:r>
    </w:p>
    <w:p>
      <w:pPr>
        <w:spacing w:line="360" w:lineRule="auto"/>
        <w:ind w:firstLine="420" w:firstLineChars="200"/>
        <w:rPr>
          <w:rFonts w:ascii="宋体" w:hAnsi="宋体"/>
          <w:color w:val="auto"/>
          <w:szCs w:val="21"/>
        </w:rPr>
      </w:pPr>
      <w:r>
        <w:rPr>
          <w:rFonts w:hint="eastAsia" w:ascii="宋体" w:hAnsi="宋体"/>
          <w:color w:val="auto"/>
          <w:szCs w:val="21"/>
        </w:rPr>
        <w:t>b.增加的对价与租赁范围扩大部分的单独价格按该合同情况调整后的金额相当。</w:t>
      </w:r>
    </w:p>
    <w:p>
      <w:pPr>
        <w:spacing w:line="360" w:lineRule="auto"/>
        <w:ind w:firstLine="420" w:firstLineChars="200"/>
        <w:rPr>
          <w:rFonts w:ascii="宋体" w:hAnsi="宋体"/>
          <w:color w:val="auto"/>
          <w:szCs w:val="21"/>
        </w:rPr>
      </w:pPr>
      <w:r>
        <w:rPr>
          <w:rFonts w:hint="eastAsia" w:ascii="宋体" w:hAnsi="宋体"/>
          <w:color w:val="auto"/>
          <w:szCs w:val="21"/>
        </w:rPr>
        <w:t>融资租赁的变更未作为一项单独租赁进行会计处理的，本公司作为出租人分别下列情形对变更后的租赁进行处理：</w:t>
      </w:r>
    </w:p>
    <w:p>
      <w:pPr>
        <w:spacing w:line="360" w:lineRule="auto"/>
        <w:ind w:firstLine="420" w:firstLineChars="200"/>
        <w:rPr>
          <w:rFonts w:ascii="宋体" w:hAnsi="宋体"/>
          <w:color w:val="auto"/>
          <w:szCs w:val="21"/>
        </w:rPr>
      </w:pPr>
      <w:r>
        <w:rPr>
          <w:rFonts w:hint="eastAsia" w:ascii="宋体" w:hAnsi="宋体"/>
          <w:color w:val="auto"/>
          <w:szCs w:val="21"/>
        </w:rPr>
        <w:t>a.假如变更在租赁开始日生效，该租赁会被分类为经营租赁的，本公司作为出租人自租赁变更生效日开始将其作为一项新租赁进行会计处理，并以租赁变更生效日前的租赁投资净额作为租赁资产的账面价值；</w:t>
      </w:r>
    </w:p>
    <w:p>
      <w:pPr>
        <w:spacing w:line="360" w:lineRule="auto"/>
        <w:ind w:firstLine="420" w:firstLineChars="200"/>
        <w:rPr>
          <w:rFonts w:ascii="宋体" w:hAnsi="宋体"/>
          <w:color w:val="auto"/>
          <w:szCs w:val="21"/>
        </w:rPr>
      </w:pPr>
      <w:r>
        <w:rPr>
          <w:rFonts w:hint="eastAsia" w:ascii="宋体" w:hAnsi="宋体"/>
          <w:color w:val="auto"/>
          <w:szCs w:val="21"/>
        </w:rPr>
        <w:t>b.假如变更在租赁开始日生效，该租赁会被分类为融资租赁的，本公司作为出租人按照《企业会计准则第22号——金融工具确认和计量》关于修改或重新议定合同的规定进行会计处理。即，修改或重新议定租赁合同，未导致应收融资租赁款终止确认,但导致未来现金流量发生变化的，重新计算该应收融资租赁款的账面余额，并将相关利得或损失计入当期损益。重新计算应收融资租赁款账面余额时，根据重新议定或修改的租赁合同现金流量按照应收融资租赁款的原折现率或按照《企业会计准则第24号一套期会计》(2017)第二十三条规定重新计算的折现率(如适用)折现的现值确定。对于修改或重新议定租赁合同所产生的所有成本和费用，本公司调整修改后的应收融资租赁款的账面价值，并在修改后应收融资租赁款的剩余期限内进行摊销。</w:t>
      </w:r>
    </w:p>
    <w:p>
      <w:pPr>
        <w:spacing w:line="360" w:lineRule="auto"/>
        <w:ind w:firstLine="420" w:firstLineChars="200"/>
        <w:rPr>
          <w:rFonts w:ascii="宋体" w:hAnsi="宋体"/>
          <w:color w:val="auto"/>
          <w:szCs w:val="21"/>
        </w:rPr>
      </w:pPr>
      <w:r>
        <w:rPr>
          <w:rFonts w:hint="eastAsia" w:ascii="宋体" w:hAnsi="宋体"/>
          <w:color w:val="auto"/>
          <w:szCs w:val="21"/>
        </w:rPr>
        <w:t>本公司作为出租人的经营租赁发生变更的，本公司自变更生效日起将其作为一项新租赁进行会计处理，与变更前租赁有关的预收或应收租赁收款额视为新租赁的收款额。</w:t>
      </w:r>
    </w:p>
    <w:p>
      <w:pPr>
        <w:spacing w:line="360" w:lineRule="auto"/>
        <w:ind w:firstLine="420" w:firstLineChars="200"/>
        <w:rPr>
          <w:rFonts w:ascii="宋体" w:hAnsi="宋体"/>
          <w:color w:val="auto"/>
          <w:szCs w:val="21"/>
        </w:rPr>
      </w:pPr>
      <w:r>
        <w:rPr>
          <w:rFonts w:hint="eastAsia" w:ascii="宋体" w:hAnsi="宋体"/>
          <w:color w:val="auto"/>
          <w:szCs w:val="21"/>
        </w:rPr>
        <w:t>3、售后租回交易</w:t>
      </w:r>
    </w:p>
    <w:p>
      <w:pPr>
        <w:spacing w:line="360" w:lineRule="auto"/>
        <w:ind w:firstLine="420" w:firstLineChars="200"/>
        <w:rPr>
          <w:rFonts w:ascii="宋体" w:hAnsi="宋体"/>
          <w:color w:val="auto"/>
          <w:szCs w:val="21"/>
        </w:rPr>
      </w:pPr>
      <w:r>
        <w:rPr>
          <w:rFonts w:hint="eastAsia" w:ascii="宋体" w:hAnsi="宋体"/>
          <w:color w:val="auto"/>
          <w:szCs w:val="21"/>
        </w:rPr>
        <w:t>本公司按照本附注“三、（三十三）收入”所述原则评估确定售后租回交易中的资产转让是否属于销售。</w:t>
      </w:r>
    </w:p>
    <w:p>
      <w:pPr>
        <w:spacing w:line="360" w:lineRule="auto"/>
        <w:ind w:firstLine="420" w:firstLineChars="200"/>
        <w:rPr>
          <w:rFonts w:ascii="宋体" w:hAnsi="宋体"/>
          <w:color w:val="auto"/>
          <w:szCs w:val="21"/>
        </w:rPr>
      </w:pPr>
      <w:r>
        <w:rPr>
          <w:rFonts w:hint="eastAsia" w:ascii="宋体" w:hAnsi="宋体"/>
          <w:color w:val="auto"/>
          <w:szCs w:val="21"/>
        </w:rPr>
        <w:t>A</w:t>
      </w:r>
      <w:r>
        <w:rPr>
          <w:rFonts w:ascii="宋体" w:hAnsi="宋体"/>
          <w:color w:val="auto"/>
          <w:szCs w:val="21"/>
        </w:rPr>
        <w:t xml:space="preserve">  </w:t>
      </w:r>
      <w:r>
        <w:rPr>
          <w:rFonts w:hint="eastAsia" w:ascii="宋体" w:hAnsi="宋体"/>
          <w:color w:val="auto"/>
          <w:szCs w:val="21"/>
        </w:rPr>
        <w:t>本公司作为卖方及承租人：</w:t>
      </w:r>
    </w:p>
    <w:p>
      <w:pPr>
        <w:spacing w:line="360" w:lineRule="auto"/>
        <w:ind w:firstLine="420" w:firstLineChars="200"/>
        <w:rPr>
          <w:rFonts w:ascii="宋体" w:hAnsi="宋体"/>
          <w:color w:val="auto"/>
          <w:szCs w:val="21"/>
        </w:rPr>
      </w:pPr>
      <w:r>
        <w:rPr>
          <w:rFonts w:hint="eastAsia" w:ascii="宋体" w:hAnsi="宋体"/>
          <w:color w:val="auto"/>
          <w:szCs w:val="21"/>
        </w:rPr>
        <w:t>售后租回交易中的资产转让属于销售的，公司作为承租人按原资产账面价值中与租回获得的使用权有关的部分，计量售后租回所形成的使用权资产，并仅就转让至出租人的权利确认相关利得或损失；售后租回交易中的资产转让不属于销售的，公司作为承租人继续确认被转让资产，同时确认一项与转让收入等额的金融负债。金融负债的会计处理详见本附注“（十）金融工具”。</w:t>
      </w:r>
    </w:p>
    <w:p>
      <w:pPr>
        <w:spacing w:line="360" w:lineRule="auto"/>
        <w:ind w:firstLine="420" w:firstLineChars="200"/>
        <w:rPr>
          <w:rFonts w:ascii="宋体" w:hAnsi="宋体"/>
          <w:color w:val="auto"/>
          <w:szCs w:val="21"/>
        </w:rPr>
      </w:pPr>
      <w:r>
        <w:rPr>
          <w:rFonts w:hint="eastAsia" w:ascii="宋体" w:hAnsi="宋体"/>
          <w:color w:val="auto"/>
          <w:szCs w:val="21"/>
        </w:rPr>
        <w:t>B</w:t>
      </w:r>
      <w:r>
        <w:rPr>
          <w:rFonts w:ascii="宋体" w:hAnsi="宋体"/>
          <w:color w:val="auto"/>
          <w:szCs w:val="21"/>
        </w:rPr>
        <w:t xml:space="preserve">  </w:t>
      </w:r>
      <w:r>
        <w:rPr>
          <w:rFonts w:hint="eastAsia" w:ascii="宋体" w:hAnsi="宋体"/>
          <w:color w:val="auto"/>
          <w:szCs w:val="21"/>
        </w:rPr>
        <w:t>本公司作为买方及出租人</w:t>
      </w:r>
    </w:p>
    <w:p>
      <w:pPr>
        <w:spacing w:line="360" w:lineRule="auto"/>
        <w:ind w:firstLine="420" w:firstLineChars="200"/>
        <w:rPr>
          <w:rFonts w:ascii="宋体" w:hAnsi="宋体"/>
          <w:color w:val="auto"/>
          <w:szCs w:val="21"/>
        </w:rPr>
      </w:pPr>
      <w:r>
        <w:rPr>
          <w:rFonts w:hint="eastAsia" w:ascii="宋体" w:hAnsi="宋体"/>
          <w:color w:val="auto"/>
          <w:szCs w:val="21"/>
        </w:rPr>
        <w:t>售后租回交易中的资产转让属于销售的，公司作为出租人对资产购买进行会计处理，并根据前述“（2）本公司作为出租人”的政策对资产出租进行会计处理；售后租回交易中的资产转让不属于销售的，公司作为出租人不确认被转让资产，但确认一项与转让收入等额的金融资产。金融资产的会计处理详见本附注“（十）金融工具”。</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（三十七）其他重要会计政策、会计估计</w:t>
      </w:r>
    </w:p>
    <w:p>
      <w:pPr>
        <w:spacing w:line="360" w:lineRule="auto"/>
        <w:ind w:firstLine="420" w:firstLineChars="200"/>
        <w:rPr>
          <w:b/>
          <w:color w:val="auto"/>
          <w:kern w:val="0"/>
          <w:szCs w:val="21"/>
        </w:rPr>
      </w:pPr>
      <w:r>
        <w:rPr>
          <w:rFonts w:hint="eastAsia" w:ascii="宋体" w:hAnsi="宋体"/>
          <w:b/>
          <w:color w:val="auto"/>
        </w:rPr>
        <w:t>1、</w:t>
      </w:r>
      <w:r>
        <w:rPr>
          <w:b/>
          <w:color w:val="auto"/>
          <w:kern w:val="0"/>
          <w:szCs w:val="21"/>
        </w:rPr>
        <w:t>股份回购</w:t>
      </w:r>
    </w:p>
    <w:p>
      <w:pPr>
        <w:spacing w:line="360" w:lineRule="auto"/>
        <w:ind w:firstLine="420" w:firstLineChars="200"/>
        <w:rPr>
          <w:rFonts w:ascii="宋体" w:hAnsi="宋体"/>
          <w:color w:val="auto"/>
          <w:szCs w:val="21"/>
        </w:rPr>
      </w:pPr>
      <w:r>
        <w:rPr>
          <w:rFonts w:hint="eastAsia" w:ascii="宋体" w:hAnsi="宋体"/>
          <w:color w:val="auto"/>
          <w:szCs w:val="21"/>
        </w:rPr>
        <w:t>股份回购中支付的对价和交易费用减少股东权益，回购、转让或注销本公司股份时，不确认利得或损失。</w:t>
      </w:r>
    </w:p>
    <w:p>
      <w:pPr>
        <w:spacing w:line="360" w:lineRule="auto"/>
        <w:ind w:firstLine="420" w:firstLineChars="200"/>
        <w:rPr>
          <w:rFonts w:ascii="宋体" w:hAnsi="宋体"/>
          <w:color w:val="auto"/>
          <w:szCs w:val="21"/>
        </w:rPr>
      </w:pPr>
      <w:r>
        <w:rPr>
          <w:rFonts w:hint="eastAsia" w:ascii="宋体" w:hAnsi="宋体"/>
          <w:color w:val="auto"/>
          <w:szCs w:val="21"/>
        </w:rPr>
        <w:t>转让库存股，按实际收到的金额与库存股账面金额的差额，计入资本公积，资本公积不足冲减的，冲减盈余公积和未分配利润。</w:t>
      </w:r>
    </w:p>
    <w:p>
      <w:pPr>
        <w:spacing w:line="360" w:lineRule="auto"/>
        <w:ind w:firstLine="420" w:firstLineChars="200"/>
        <w:rPr>
          <w:rFonts w:ascii="宋体" w:hAnsi="宋体"/>
          <w:color w:val="auto"/>
          <w:szCs w:val="21"/>
        </w:rPr>
      </w:pPr>
      <w:r>
        <w:rPr>
          <w:rFonts w:hint="eastAsia" w:ascii="宋体" w:hAnsi="宋体"/>
          <w:color w:val="auto"/>
          <w:szCs w:val="21"/>
        </w:rPr>
        <w:t>注销库存股，按股票面值和注销股数减少股本，按注销库存股的账面余额与面值的差额，冲减资本公积，资本公积不足冲减的，冲减盈余公积和未分配利润。</w:t>
      </w:r>
    </w:p>
    <w:p>
      <w:pPr>
        <w:spacing w:line="360" w:lineRule="auto"/>
        <w:ind w:firstLine="420" w:firstLineChars="200"/>
        <w:rPr>
          <w:rFonts w:ascii="宋体" w:hAnsi="宋体"/>
          <w:b/>
          <w:color w:val="auto"/>
        </w:rPr>
      </w:pPr>
      <w:r>
        <w:rPr>
          <w:rFonts w:hint="eastAsia" w:ascii="宋体" w:hAnsi="宋体"/>
          <w:b/>
          <w:color w:val="auto"/>
        </w:rPr>
        <w:t>2、债务重组</w:t>
      </w:r>
    </w:p>
    <w:p>
      <w:pPr>
        <w:spacing w:line="360" w:lineRule="auto"/>
        <w:ind w:firstLine="420" w:firstLineChars="200"/>
        <w:rPr>
          <w:rFonts w:ascii="宋体" w:hAnsi="宋体"/>
          <w:color w:val="auto"/>
          <w:szCs w:val="21"/>
        </w:rPr>
      </w:pPr>
      <w:r>
        <w:rPr>
          <w:rFonts w:hint="eastAsia" w:ascii="宋体" w:hAnsi="宋体"/>
          <w:color w:val="auto"/>
          <w:szCs w:val="21"/>
        </w:rPr>
        <w:t>债务重组，是指在不改变交易对手方的情况下，经债权人和债务人协定或法院裁定，就清偿债务的时间、金额或方式等重新达成协议的交易。</w:t>
      </w:r>
    </w:p>
    <w:p>
      <w:pPr>
        <w:spacing w:line="360" w:lineRule="auto"/>
        <w:ind w:firstLine="420" w:firstLineChars="200"/>
        <w:rPr>
          <w:rFonts w:ascii="宋体" w:hAnsi="宋体"/>
          <w:color w:val="auto"/>
          <w:szCs w:val="21"/>
        </w:rPr>
      </w:pPr>
      <w:r>
        <w:rPr>
          <w:rFonts w:hint="eastAsia" w:ascii="宋体" w:hAnsi="宋体"/>
          <w:color w:val="auto"/>
          <w:szCs w:val="21"/>
        </w:rPr>
        <w:t>（1）本公司作为债务人记录债务重组</w:t>
      </w:r>
    </w:p>
    <w:p>
      <w:pPr>
        <w:spacing w:line="360" w:lineRule="auto"/>
        <w:ind w:firstLine="420" w:firstLineChars="200"/>
        <w:rPr>
          <w:rFonts w:ascii="宋体" w:hAnsi="宋体"/>
          <w:color w:val="auto"/>
          <w:szCs w:val="21"/>
        </w:rPr>
      </w:pPr>
      <w:r>
        <w:rPr>
          <w:rFonts w:hint="eastAsia" w:ascii="宋体" w:hAnsi="宋体"/>
          <w:color w:val="auto"/>
          <w:szCs w:val="21"/>
        </w:rPr>
        <w:t>本公司以资产清偿债务的债务重组，在相关资产和所清偿债务符合终止确认条件时予以终止确认，所清偿债务账面价值与转让资产账面价值之间的差额计入当期损益。</w:t>
      </w:r>
    </w:p>
    <w:p>
      <w:pPr>
        <w:spacing w:line="360" w:lineRule="auto"/>
        <w:ind w:firstLine="420" w:firstLineChars="200"/>
        <w:rPr>
          <w:rFonts w:ascii="宋体" w:hAnsi="宋体"/>
          <w:color w:val="auto"/>
          <w:szCs w:val="21"/>
        </w:rPr>
      </w:pPr>
      <w:r>
        <w:rPr>
          <w:rFonts w:hint="eastAsia" w:ascii="宋体" w:hAnsi="宋体"/>
          <w:color w:val="auto"/>
          <w:szCs w:val="21"/>
        </w:rPr>
        <w:t>本公司将债务转为权益工具的债务重组，在所清偿债务符合终止确认条件时予以终止确认。初始确认权益工具时按照权益工具的公允价值计量，权益工具的公允价值不能可靠计量的，按照所清偿债务的公允价值计量。所清偿债务账面价值与权益工具确认金额之间的差额，计入当期损益。</w:t>
      </w:r>
    </w:p>
    <w:p>
      <w:pPr>
        <w:spacing w:line="360" w:lineRule="auto"/>
        <w:ind w:firstLine="420" w:firstLineChars="200"/>
        <w:rPr>
          <w:rFonts w:ascii="宋体" w:hAnsi="宋体"/>
          <w:color w:val="auto"/>
          <w:szCs w:val="21"/>
        </w:rPr>
      </w:pPr>
      <w:r>
        <w:rPr>
          <w:rFonts w:hint="eastAsia" w:ascii="宋体" w:hAnsi="宋体"/>
          <w:color w:val="auto"/>
          <w:szCs w:val="21"/>
        </w:rPr>
        <w:t>采用修改其他条款方式进行债务重组的，本公司按照《企业会计准则第 22 号——金融工具的确认和计量》、《企业会计准则第 37 号——金融工具列报》的规定，确认和计量重组债务。</w:t>
      </w:r>
    </w:p>
    <w:p>
      <w:pPr>
        <w:spacing w:line="360" w:lineRule="auto"/>
        <w:ind w:firstLine="420" w:firstLineChars="200"/>
        <w:rPr>
          <w:rFonts w:ascii="宋体" w:hAnsi="宋体"/>
          <w:color w:val="auto"/>
          <w:szCs w:val="21"/>
        </w:rPr>
      </w:pPr>
      <w:r>
        <w:rPr>
          <w:rFonts w:hint="eastAsia" w:ascii="宋体" w:hAnsi="宋体"/>
          <w:color w:val="auto"/>
          <w:szCs w:val="21"/>
        </w:rPr>
        <w:t>以多项资产清偿债务或者组合方式进行债务重组的，本公司按照前述方法确认和计量权益工具和重组债务，所清偿债务的账面价值与转让资产的账面价值以及权益工具和重组债务的确认金额之和的差额，计入当期损益。</w:t>
      </w:r>
    </w:p>
    <w:p>
      <w:pPr>
        <w:spacing w:line="360" w:lineRule="auto"/>
        <w:ind w:firstLine="420" w:firstLineChars="200"/>
        <w:rPr>
          <w:rFonts w:ascii="宋体" w:hAnsi="宋体"/>
          <w:color w:val="auto"/>
          <w:szCs w:val="21"/>
        </w:rPr>
      </w:pPr>
      <w:r>
        <w:rPr>
          <w:rFonts w:hint="eastAsia" w:ascii="宋体" w:hAnsi="宋体"/>
          <w:color w:val="auto"/>
          <w:szCs w:val="21"/>
        </w:rPr>
        <w:t>（2）本公司作为债权人记录债务重组</w:t>
      </w:r>
    </w:p>
    <w:p>
      <w:pPr>
        <w:spacing w:line="360" w:lineRule="auto"/>
        <w:ind w:firstLine="420" w:firstLineChars="200"/>
        <w:rPr>
          <w:rFonts w:ascii="宋体" w:hAnsi="宋体"/>
          <w:color w:val="auto"/>
          <w:szCs w:val="21"/>
        </w:rPr>
      </w:pPr>
      <w:r>
        <w:rPr>
          <w:rFonts w:hint="eastAsia" w:ascii="宋体" w:hAnsi="宋体"/>
          <w:color w:val="auto"/>
          <w:szCs w:val="21"/>
        </w:rPr>
        <w:t>债务人以资产清偿债务或者将债务转为权益工具方式进行债务重组的，本公司在相关资产符合其定义和确认条件时予以确认。</w:t>
      </w:r>
    </w:p>
    <w:p>
      <w:pPr>
        <w:spacing w:line="360" w:lineRule="auto"/>
        <w:ind w:firstLine="420" w:firstLineChars="200"/>
        <w:rPr>
          <w:rFonts w:ascii="宋体" w:hAnsi="宋体"/>
          <w:color w:val="auto"/>
          <w:szCs w:val="21"/>
        </w:rPr>
      </w:pPr>
      <w:r>
        <w:rPr>
          <w:rFonts w:hint="eastAsia" w:ascii="宋体" w:hAnsi="宋体"/>
          <w:color w:val="auto"/>
          <w:szCs w:val="21"/>
        </w:rPr>
        <w:t>债务人以资产清偿债务方式进行债务重组的，本公司初始确认受让的金融资产以外的资产时，应当按照下列原则以成本计量：①存货的成本，包括放弃债权的公允价值和使该资产达到当前位置和状态所发生的可直接归属于该资产的税金、运输费、装卸费、保险费等其他成本。②对联营企业或合营企业投资的成本，包括放弃债权的公允价值和可直接归属于该资产的税金等其他成本。③投资性房地产的成本，包括放弃债权的公允价值和可直接归属于该资产的税金等其他成本。④固定资产的成本，包括放弃债权的公允价值和使该资产达到预定可使用状态前所发生的可直接归属于该资产的税金、运输费、装卸费、安装费、专业人员服务费等其他成本。⑤生物资产的成本，包括放弃债权的公允价值和可直接归属于该资产的税金、运输费、保险费等其他成本。⑥无形资产的成本，包括放弃债权的公允价值和可直接归属于使该资产达到预定用途所发生的税金等其他成本。放弃债权的公允价值与账面价值之间的差额，应当计入当期损益。</w:t>
      </w:r>
    </w:p>
    <w:p>
      <w:pPr>
        <w:spacing w:line="360" w:lineRule="auto"/>
        <w:ind w:firstLine="420" w:firstLineChars="200"/>
        <w:rPr>
          <w:rFonts w:ascii="宋体" w:hAnsi="宋体"/>
          <w:color w:val="auto"/>
          <w:szCs w:val="21"/>
        </w:rPr>
      </w:pPr>
      <w:r>
        <w:rPr>
          <w:rFonts w:hint="eastAsia" w:ascii="宋体" w:hAnsi="宋体"/>
          <w:color w:val="auto"/>
          <w:szCs w:val="21"/>
        </w:rPr>
        <w:t>将债务转为权益工具的债务重组导致本公司将债权转为对联营企业或合营企业的权益性投资的，按照放弃债权的公允价值和可直接归属于该资产的税金等其他成本计量其初始投资成本。放弃债权的公允价值与账面价值之间的差额，计入当期损益。</w:t>
      </w:r>
    </w:p>
    <w:p>
      <w:pPr>
        <w:spacing w:line="360" w:lineRule="auto"/>
        <w:ind w:firstLine="420" w:firstLineChars="200"/>
        <w:rPr>
          <w:rFonts w:ascii="宋体" w:hAnsi="宋体"/>
          <w:color w:val="auto"/>
          <w:szCs w:val="21"/>
        </w:rPr>
      </w:pPr>
      <w:r>
        <w:rPr>
          <w:rFonts w:hint="eastAsia" w:ascii="宋体" w:hAnsi="宋体"/>
          <w:color w:val="auto"/>
          <w:szCs w:val="21"/>
        </w:rPr>
        <w:t>采用修改其他条款方式进行债务重组的，本公司按照《企业会计准则第 22 号——金融工具的确认和计量》的规定，确认和计量重组债权。</w:t>
      </w:r>
    </w:p>
    <w:p>
      <w:pPr>
        <w:spacing w:line="360" w:lineRule="auto"/>
        <w:ind w:firstLine="420" w:firstLineChars="200"/>
        <w:rPr>
          <w:rFonts w:ascii="宋体" w:hAnsi="宋体"/>
          <w:color w:val="auto"/>
          <w:szCs w:val="21"/>
        </w:rPr>
      </w:pPr>
      <w:r>
        <w:rPr>
          <w:rFonts w:hint="eastAsia" w:ascii="宋体" w:hAnsi="宋体"/>
          <w:color w:val="auto"/>
          <w:szCs w:val="21"/>
        </w:rPr>
        <w:t>采用多项资产清偿债务或者组合方式进行债务重组的，首先按照《企业会计准则第 22 号——金融工具的确认和计量》的规定确认和计量受让的金融资产和重组债权，然后按照受让的金融资产以外的各项资产的公允价值比例，对放弃债权的公允价值扣除受让金融资产和重组债权确认金额后的净额进行分配，并以此为基础按照前述方法分别确定各项资产的成本。放弃债权的公允价值与账面价值之间的差额，计入当期损益。</w:t>
      </w:r>
    </w:p>
    <w:p>
      <w:pPr>
        <w:spacing w:line="360" w:lineRule="auto"/>
        <w:ind w:firstLine="420" w:firstLineChars="200"/>
        <w:rPr>
          <w:rFonts w:ascii="宋体" w:hAnsi="宋体"/>
          <w:b/>
          <w:color w:val="auto"/>
        </w:rPr>
      </w:pPr>
      <w:r>
        <w:rPr>
          <w:rFonts w:hint="eastAsia" w:ascii="宋体" w:hAnsi="宋体"/>
          <w:b/>
          <w:color w:val="auto"/>
        </w:rPr>
        <w:t>3、非货币性资产交换</w:t>
      </w:r>
    </w:p>
    <w:p>
      <w:pPr>
        <w:spacing w:line="360" w:lineRule="auto"/>
        <w:ind w:firstLine="420" w:firstLineChars="200"/>
        <w:rPr>
          <w:rFonts w:ascii="宋体" w:hAnsi="宋体"/>
          <w:color w:val="auto"/>
          <w:szCs w:val="21"/>
        </w:rPr>
      </w:pPr>
      <w:r>
        <w:rPr>
          <w:rFonts w:hint="eastAsia" w:ascii="宋体" w:hAnsi="宋体"/>
          <w:color w:val="auto"/>
          <w:szCs w:val="21"/>
        </w:rPr>
        <w:t>如果非货币性资产交换具有商业实质，并且换入资产或换出资产的公允价值能够可靠地计量，本公司的非货币性资产交换以公允价值为基础计量。对于换入资产，本公司以换出资产的公允价值和应支付的相关税费作为换入资产的成本进行初始计量；对于换出资产，在终止确认时，将换出资产公允价值与账面价值的差额计入当期损益。有确凿证据表明换入资产的公允价值更加可靠的，对于换入资产，本公司以换入资产的公允价值和应支付的相关税费作为换入资产的初始计量金额；对于换出资产，在终止确认时，将换入资产的公允价值与换出资产账面价值之间的差额计入当期损益。涉及补价的，按照以下规定处理：①支付补价的，以换出资产的公允价值，加上支付补价的公允价值和应支付的相关税费，作为换入资产的成本，换出资产的公允价值与其账面价值之间的差额计入当期损益。有确凿证据表明换入资产的公允价值更加可靠的，以换入资产的公允价值和应支付的相关税费作为换入资产的初始计量金额，换入资产的公允价值减去支付补价的公允价值，与换出资产账面价值之间的差额计入当期损益。②收到补价的，以换出资产的公允价值，减去收到补价的公允价值，加上应支付的相关税费，作为换入资产的成本，换出资产的公允价值与其账面价值之间的差额计入当期损益。有确凿证据表明换入资产的公允价值更加可靠的，以换入资产的公允价值和应支付的相关税费作为换入资产的初始计量金额，换入资产的公允价值加上收到补价的公允价值，与换出资产账面价值之间的差额计入当期损益。</w:t>
      </w:r>
    </w:p>
    <w:p>
      <w:pPr>
        <w:spacing w:line="360" w:lineRule="auto"/>
        <w:ind w:firstLine="420" w:firstLineChars="200"/>
        <w:rPr>
          <w:rFonts w:ascii="宋体" w:hAnsi="宋体"/>
          <w:color w:val="auto"/>
          <w:szCs w:val="21"/>
        </w:rPr>
      </w:pPr>
      <w:r>
        <w:rPr>
          <w:rFonts w:hint="eastAsia" w:ascii="宋体" w:hAnsi="宋体"/>
          <w:color w:val="auto"/>
          <w:szCs w:val="21"/>
        </w:rPr>
        <w:t>不满足以公允价值为基础计量条件的非货币性资产交换，本公司以账面价值为基础计量。对于换入资产，以换出资产的账面价值和应支付的相关税费作为换入资产的初始计量金额；对于换出资产，终止确认时不确认损益。涉及补价的，应当按照下列规定进行处理：①支付补价的，以换出资产的账面价值，加上支付补价的账面价值和应支付的相关税费，作为换入资产的初始计量金额，不确认损益。②收到补价的，以换出资产的账面价值，减去收到补价的公允价值，加上应支付的相关税费，作为换入资产的初始计量金额，不确认损益。</w:t>
      </w:r>
    </w:p>
    <w:p>
      <w:pPr>
        <w:spacing w:line="360" w:lineRule="auto"/>
        <w:ind w:firstLine="420" w:firstLineChars="200"/>
        <w:rPr>
          <w:rFonts w:ascii="宋体" w:hAnsi="宋体"/>
          <w:color w:val="auto"/>
          <w:szCs w:val="21"/>
        </w:rPr>
      </w:pPr>
      <w:r>
        <w:rPr>
          <w:rFonts w:hint="eastAsia" w:ascii="宋体" w:hAnsi="宋体"/>
          <w:color w:val="auto"/>
          <w:szCs w:val="21"/>
        </w:rPr>
        <w:t>非货币性资产交换同时换入多项资产的，如果以公允价值为基础计量，本公司按照换入的金融资产以外的各项换入资产公允价值相对比例，将换出资产公允价值总额扣除换入金融资产公允价值后的净额进行分摊，以分摊至各项换入资产的金额，加上应支付的相关税费，作为各项换入资产的成本进行初始计量；有确凿证据表明换入资产的公允价值更加可靠的，本公司以各项换入资产的公允价值和应支付的相关税费作为各项换入资产的成本进行初始计量。非货币性资产交换以账面价值为基础计量的，按照各项换入资产的公允价值的相对比例，将换出资产的账面价值总额分摊至各项换入资产，加上应支付的相关税费，作为各项换入资产的初始计量金额。</w:t>
      </w:r>
    </w:p>
    <w:p>
      <w:pPr>
        <w:spacing w:line="360" w:lineRule="auto"/>
        <w:ind w:firstLine="420" w:firstLineChars="200"/>
        <w:rPr>
          <w:rFonts w:ascii="宋体" w:hAnsi="宋体"/>
          <w:color w:val="auto"/>
          <w:szCs w:val="21"/>
        </w:rPr>
      </w:pPr>
      <w:r>
        <w:rPr>
          <w:rFonts w:hint="eastAsia" w:ascii="宋体" w:hAnsi="宋体"/>
          <w:color w:val="auto"/>
          <w:szCs w:val="21"/>
        </w:rPr>
        <w:t>非货币性资产交换同时换出多项资产的，如果以公允价值为基础计量，本公司将各项换出资产的公允价值与其账面价值之间的差额，在各项换出资产终止确认时计入当期损益；有确凿证据表明换入资产的公允价值更加可靠的，按照各项换出资产的公允价值的相对比例，将换入资产的公允价值总额分摊至各项换出资产，分摊至各项换出资产的金额与各项换出资产账面价值之间的差额，在各项换出资产终止确认时计入当期损益。非货币性资产交换以账面价值为基础计量的，各项换出资产终止确认时均不确认损益。</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（三十八）重要会计政策、会计估计的变更</w:t>
      </w:r>
    </w:p>
    <w:p>
      <w:pPr>
        <w:pStyle w:val="16"/>
        <w:numPr>
          <w:ilvl w:val="0"/>
          <w:numId w:val="2"/>
        </w:numPr>
        <w:spacing w:line="360" w:lineRule="auto"/>
        <w:rPr>
          <w:rFonts w:ascii="宋体" w:hAnsi="宋体"/>
          <w:b/>
          <w:color w:val="auto"/>
        </w:rPr>
      </w:pPr>
      <w:r>
        <w:rPr>
          <w:rFonts w:ascii="宋体" w:hAnsi="宋体"/>
          <w:b/>
          <w:color w:val="auto"/>
        </w:rPr>
        <w:t>重要会计政策变更</w:t>
      </w:r>
    </w:p>
    <w:tbl>
      <w:tblPr>
        <w:tblStyle w:val="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248"/>
        <w:gridCol w:w="46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63" w:type="pct"/>
            <w:vAlign w:val="center"/>
          </w:tcPr>
          <w:p>
            <w:pPr>
              <w:snapToGrid w:val="0"/>
              <w:jc w:val="center"/>
              <w:rPr>
                <w:rFonts w:ascii="宋体" w:hAnsi="宋体"/>
                <w:color w:val="auto"/>
                <w:sz w:val="18"/>
                <w:szCs w:val="18"/>
              </w:rPr>
            </w:pPr>
            <w:r>
              <w:rPr>
                <w:rFonts w:ascii="宋体" w:hAnsi="宋体"/>
                <w:color w:val="auto"/>
                <w:sz w:val="18"/>
                <w:szCs w:val="18"/>
              </w:rPr>
              <w:t>会计政策变更的内容和原因</w:t>
            </w:r>
          </w:p>
        </w:tc>
        <w:tc>
          <w:tcPr>
            <w:tcW w:w="2337" w:type="pct"/>
            <w:vAlign w:val="center"/>
          </w:tcPr>
          <w:p>
            <w:pPr>
              <w:snapToGrid w:val="0"/>
              <w:jc w:val="center"/>
              <w:rPr>
                <w:rFonts w:ascii="宋体" w:hAnsi="宋体"/>
                <w:color w:val="auto"/>
                <w:sz w:val="18"/>
                <w:szCs w:val="18"/>
              </w:rPr>
            </w:pPr>
            <w:r>
              <w:rPr>
                <w:rFonts w:hint="eastAsia" w:ascii="宋体" w:hAnsi="宋体"/>
                <w:color w:val="auto"/>
                <w:sz w:val="18"/>
                <w:szCs w:val="18"/>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63" w:type="pct"/>
            <w:vAlign w:val="center"/>
          </w:tcPr>
          <w:p>
            <w:pPr>
              <w:snapToGrid w:val="0"/>
              <w:rPr>
                <w:rFonts w:ascii="宋体" w:hAnsi="宋体"/>
                <w:color w:val="auto"/>
                <w:sz w:val="18"/>
                <w:szCs w:val="18"/>
              </w:rPr>
            </w:pPr>
            <w:r>
              <w:rPr>
                <w:rFonts w:hint="eastAsia" w:ascii="宋体" w:hAnsi="宋体"/>
                <w:color w:val="auto"/>
                <w:sz w:val="18"/>
                <w:szCs w:val="18"/>
              </w:rPr>
              <w:t>2021年12月31日，财政部发布了《企业会计准则解释第 15 号》（财会〔2021〕 35 号）， 要求“关于企业将固定资产达到预定可使用状态前或者研发过程中产出的产品或副产品对外销售的会计处理”、“关于亏损合同的判断” 内容自 2022 年 1月 1 日起施行。</w:t>
            </w:r>
          </w:p>
        </w:tc>
        <w:tc>
          <w:tcPr>
            <w:tcW w:w="2337" w:type="pct"/>
            <w:vAlign w:val="center"/>
          </w:tcPr>
          <w:p>
            <w:pPr>
              <w:snapToGrid w:val="0"/>
              <w:jc w:val="center"/>
              <w:rPr>
                <w:rFonts w:ascii="宋体" w:hAnsi="宋体"/>
                <w:color w:val="auto"/>
                <w:sz w:val="18"/>
                <w:szCs w:val="18"/>
              </w:rPr>
            </w:pPr>
            <w:r>
              <w:rPr>
                <w:color w:val="auto"/>
                <w:sz w:val="18"/>
                <w:szCs w:val="18"/>
              </w:rPr>
              <w:t>本项会计政策变更对公司报表无影响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63" w:type="pct"/>
            <w:vAlign w:val="center"/>
          </w:tcPr>
          <w:p>
            <w:pPr>
              <w:snapToGrid w:val="0"/>
              <w:rPr>
                <w:rFonts w:ascii="宋体" w:hAnsi="宋体"/>
                <w:color w:val="auto"/>
                <w:sz w:val="18"/>
                <w:szCs w:val="18"/>
              </w:rPr>
            </w:pPr>
            <w:r>
              <w:rPr>
                <w:rFonts w:hint="eastAsia" w:ascii="宋体" w:hAnsi="宋体"/>
                <w:color w:val="auto"/>
                <w:sz w:val="18"/>
                <w:szCs w:val="18"/>
              </w:rPr>
              <w:t xml:space="preserve">2022年12月13日，财政部发布了《企业会计准则解释第 16 号》（财会〔2022〕 31 号），要求“关于发行方分类为权益工具的金融工具相关股利的所得税影响的会计处理”、“关于企业将以现金结算的股份支付修改为以权益结算的股份支付的会计处理” 内容自公布之日起施行。” </w:t>
            </w:r>
          </w:p>
        </w:tc>
        <w:tc>
          <w:tcPr>
            <w:tcW w:w="2337" w:type="pct"/>
            <w:vAlign w:val="center"/>
          </w:tcPr>
          <w:p>
            <w:pPr>
              <w:snapToGrid w:val="0"/>
              <w:jc w:val="center"/>
              <w:rPr>
                <w:rFonts w:ascii="宋体" w:hAnsi="宋体"/>
                <w:color w:val="auto"/>
                <w:sz w:val="18"/>
                <w:szCs w:val="18"/>
              </w:rPr>
            </w:pPr>
            <w:r>
              <w:rPr>
                <w:color w:val="auto"/>
                <w:sz w:val="18"/>
                <w:szCs w:val="18"/>
              </w:rPr>
              <w:t>本项会计政策变更对公司报表无影响</w:t>
            </w:r>
          </w:p>
        </w:tc>
      </w:tr>
    </w:tbl>
    <w:p>
      <w:pPr>
        <w:spacing w:before="150" w:beforeLines="50" w:line="360" w:lineRule="auto"/>
        <w:ind w:firstLine="420" w:firstLineChars="200"/>
        <w:rPr>
          <w:rFonts w:ascii="宋体"/>
          <w:b/>
          <w:color w:val="auto"/>
        </w:rPr>
      </w:pPr>
      <w:r>
        <w:rPr>
          <w:rFonts w:hint="eastAsia" w:ascii="宋体" w:hAnsi="宋体"/>
          <w:b/>
          <w:color w:val="auto"/>
        </w:rPr>
        <w:t>2、</w:t>
      </w:r>
      <w:r>
        <w:rPr>
          <w:rFonts w:hint="eastAsia" w:ascii="宋体"/>
          <w:b/>
          <w:color w:val="auto"/>
        </w:rPr>
        <w:t>重要会计估计变更</w:t>
      </w:r>
    </w:p>
    <w:p>
      <w:pPr>
        <w:spacing w:line="360" w:lineRule="auto"/>
        <w:ind w:firstLine="420" w:firstLineChars="200"/>
        <w:rPr>
          <w:rFonts w:ascii="宋体" w:hAnsi="宋体"/>
          <w:color w:val="auto"/>
        </w:rPr>
      </w:pPr>
      <w:r>
        <w:rPr>
          <w:rFonts w:hint="eastAsia" w:ascii="宋体" w:hAnsi="宋体"/>
          <w:color w:val="auto"/>
        </w:rPr>
        <w:t>公司报告期内重要会计估计未发生变更。</w:t>
      </w:r>
    </w:p>
    <w:p>
      <w:pPr>
        <w:spacing w:before="150" w:beforeLines="50" w:after="150" w:afterLines="50" w:line="360" w:lineRule="auto"/>
        <w:ind w:firstLine="480" w:firstLineChars="200"/>
        <w:outlineLvl w:val="1"/>
        <w:rPr>
          <w:rFonts w:ascii="宋体" w:hAnsi="宋体"/>
          <w:b/>
          <w:color w:val="auto"/>
          <w:sz w:val="24"/>
          <w:szCs w:val="24"/>
        </w:rPr>
      </w:pPr>
      <w:r>
        <w:rPr>
          <w:rFonts w:hint="eastAsia" w:ascii="宋体" w:hAnsi="宋体"/>
          <w:b/>
          <w:color w:val="auto"/>
          <w:sz w:val="24"/>
          <w:szCs w:val="24"/>
        </w:rPr>
        <w:t>（三十九）前期会计差错更正</w:t>
      </w:r>
    </w:p>
    <w:p>
      <w:pPr>
        <w:spacing w:line="360" w:lineRule="auto"/>
        <w:ind w:firstLine="420" w:firstLineChars="200"/>
        <w:rPr>
          <w:rFonts w:ascii="宋体" w:hAnsi="宋体"/>
          <w:color w:val="auto"/>
        </w:rPr>
      </w:pPr>
      <w:r>
        <w:rPr>
          <w:rFonts w:hint="eastAsia" w:ascii="宋体" w:hAnsi="宋体"/>
          <w:color w:val="auto"/>
        </w:rPr>
        <w:t>公司报告期内无前期会计差错更正。</w:t>
      </w:r>
    </w:p>
    <w:p>
      <w:pPr>
        <w:pStyle w:val="5"/>
        <w:spacing w:before="150" w:beforeLines="50" w:after="150" w:afterLines="50" w:line="360" w:lineRule="auto"/>
        <w:ind w:firstLine="480" w:firstLineChars="200"/>
        <w:outlineLvl w:val="0"/>
        <w:rPr>
          <w:rFonts w:ascii="宋体" w:hAnsi="宋体" w:eastAsia="宋体"/>
          <w:b/>
          <w:color w:val="auto"/>
          <w:sz w:val="24"/>
          <w:szCs w:val="24"/>
        </w:rPr>
      </w:pPr>
      <w:r>
        <w:rPr>
          <w:rFonts w:hint="eastAsia" w:ascii="宋体" w:hAnsi="宋体" w:eastAsia="宋体"/>
          <w:b/>
          <w:color w:val="auto"/>
          <w:sz w:val="24"/>
          <w:szCs w:val="24"/>
        </w:rPr>
        <w:t>四、税项</w:t>
      </w:r>
    </w:p>
    <w:p>
      <w:pPr>
        <w:tabs>
          <w:tab w:val="left" w:pos="900"/>
        </w:tabs>
        <w:spacing w:after="150" w:afterLines="50" w:line="360" w:lineRule="auto"/>
        <w:ind w:firstLine="420" w:firstLineChars="200"/>
        <w:rPr>
          <w:rFonts w:ascii="宋体" w:hAnsi="宋体"/>
          <w:b/>
          <w:color w:val="auto"/>
          <w:szCs w:val="21"/>
        </w:rPr>
      </w:pPr>
      <w:r>
        <w:rPr>
          <w:rFonts w:hint="eastAsia" w:ascii="宋体" w:hAnsi="宋体"/>
          <w:b/>
          <w:color w:val="auto"/>
          <w:szCs w:val="21"/>
        </w:rPr>
        <w:t>（一）主要税种及税率</w:t>
      </w:r>
    </w:p>
    <w:tbl>
      <w:tblPr>
        <w:tblStyle w:val="9"/>
        <w:tblW w:w="900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880"/>
        <w:gridCol w:w="3420"/>
        <w:gridCol w:w="27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80" w:type="dxa"/>
            <w:tcBorders>
              <w:top w:val="single" w:color="auto" w:sz="12" w:space="0"/>
              <w:bottom w:val="single" w:color="auto" w:sz="12" w:space="0"/>
            </w:tcBorders>
            <w:vAlign w:val="center"/>
          </w:tcPr>
          <w:p>
            <w:pPr>
              <w:jc w:val="center"/>
              <w:rPr>
                <w:rFonts w:ascii="宋体"/>
                <w:b/>
                <w:bCs/>
                <w:snapToGrid w:val="0"/>
                <w:color w:val="auto"/>
                <w:kern w:val="0"/>
                <w:sz w:val="18"/>
                <w:szCs w:val="18"/>
              </w:rPr>
            </w:pPr>
            <w:r>
              <w:rPr>
                <w:rFonts w:hint="eastAsia" w:ascii="宋体" w:hAnsi="宋体" w:cs="宋体"/>
                <w:b/>
                <w:bCs/>
                <w:snapToGrid w:val="0"/>
                <w:color w:val="auto"/>
                <w:kern w:val="0"/>
                <w:sz w:val="18"/>
                <w:szCs w:val="18"/>
              </w:rPr>
              <w:t>税种</w:t>
            </w:r>
          </w:p>
        </w:tc>
        <w:tc>
          <w:tcPr>
            <w:tcW w:w="3420" w:type="dxa"/>
            <w:tcBorders>
              <w:top w:val="single" w:color="auto" w:sz="12" w:space="0"/>
              <w:bottom w:val="single" w:color="auto" w:sz="12" w:space="0"/>
            </w:tcBorders>
            <w:vAlign w:val="center"/>
          </w:tcPr>
          <w:p>
            <w:pPr>
              <w:jc w:val="center"/>
              <w:rPr>
                <w:rFonts w:ascii="宋体"/>
                <w:b/>
                <w:bCs/>
                <w:snapToGrid w:val="0"/>
                <w:color w:val="auto"/>
                <w:kern w:val="0"/>
                <w:sz w:val="18"/>
                <w:szCs w:val="18"/>
              </w:rPr>
            </w:pPr>
            <w:r>
              <w:rPr>
                <w:rFonts w:hint="eastAsia" w:ascii="宋体" w:hAnsi="宋体" w:cs="宋体"/>
                <w:b/>
                <w:bCs/>
                <w:snapToGrid w:val="0"/>
                <w:color w:val="auto"/>
                <w:kern w:val="0"/>
                <w:sz w:val="18"/>
                <w:szCs w:val="18"/>
              </w:rPr>
              <w:t>计税依据</w:t>
            </w:r>
          </w:p>
        </w:tc>
        <w:tc>
          <w:tcPr>
            <w:tcW w:w="2700" w:type="dxa"/>
            <w:tcBorders>
              <w:top w:val="single" w:color="auto" w:sz="12" w:space="0"/>
              <w:bottom w:val="single" w:color="auto" w:sz="12" w:space="0"/>
            </w:tcBorders>
            <w:vAlign w:val="center"/>
          </w:tcPr>
          <w:p>
            <w:pPr>
              <w:jc w:val="center"/>
              <w:rPr>
                <w:rFonts w:ascii="宋体"/>
                <w:b/>
                <w:bCs/>
                <w:snapToGrid w:val="0"/>
                <w:color w:val="auto"/>
                <w:kern w:val="0"/>
                <w:sz w:val="18"/>
                <w:szCs w:val="18"/>
              </w:rPr>
            </w:pPr>
            <w:r>
              <w:rPr>
                <w:rFonts w:hint="eastAsia" w:ascii="宋体" w:hAnsi="宋体" w:cs="宋体"/>
                <w:b/>
                <w:bCs/>
                <w:snapToGrid w:val="0"/>
                <w:color w:val="auto"/>
                <w:kern w:val="0"/>
                <w:sz w:val="18"/>
                <w:szCs w:val="18"/>
              </w:rPr>
              <w:t>适用税率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80" w:type="dxa"/>
            <w:tcBorders>
              <w:top w:val="single" w:color="auto" w:sz="12" w:space="0"/>
            </w:tcBorders>
            <w:vAlign w:val="bottom"/>
          </w:tcPr>
          <w:p>
            <w:pPr>
              <w:rPr>
                <w:rFonts w:ascii="宋体"/>
                <w:snapToGrid w:val="0"/>
                <w:color w:val="auto"/>
                <w:kern w:val="0"/>
                <w:sz w:val="18"/>
                <w:szCs w:val="18"/>
              </w:rPr>
            </w:pPr>
            <w:r>
              <w:rPr>
                <w:rFonts w:hint="eastAsia" w:ascii="宋体" w:hAnsi="宋体" w:cs="宋体"/>
                <w:snapToGrid w:val="0"/>
                <w:color w:val="auto"/>
                <w:kern w:val="0"/>
                <w:sz w:val="18"/>
                <w:szCs w:val="18"/>
              </w:rPr>
              <w:t>增值税</w:t>
            </w:r>
          </w:p>
        </w:tc>
        <w:tc>
          <w:tcPr>
            <w:tcW w:w="3420" w:type="dxa"/>
            <w:tcBorders>
              <w:top w:val="single" w:color="auto" w:sz="12" w:space="0"/>
            </w:tcBorders>
            <w:vAlign w:val="bottom"/>
          </w:tcPr>
          <w:p>
            <w:pPr>
              <w:jc w:val="center"/>
              <w:rPr>
                <w:rFonts w:ascii="宋体"/>
                <w:snapToGrid w:val="0"/>
                <w:color w:val="auto"/>
                <w:kern w:val="0"/>
                <w:sz w:val="18"/>
                <w:szCs w:val="18"/>
              </w:rPr>
            </w:pPr>
            <w:r>
              <w:rPr>
                <w:rFonts w:hint="eastAsia" w:ascii="宋体" w:cs="宋体"/>
                <w:snapToGrid w:val="0"/>
                <w:color w:val="auto"/>
                <w:kern w:val="0"/>
                <w:sz w:val="18"/>
                <w:szCs w:val="18"/>
              </w:rPr>
              <w:t>应纳税收入</w:t>
            </w:r>
          </w:p>
        </w:tc>
        <w:tc>
          <w:tcPr>
            <w:tcW w:w="2700" w:type="dxa"/>
            <w:tcBorders>
              <w:top w:val="single" w:color="auto" w:sz="12" w:space="0"/>
            </w:tcBorders>
            <w:vAlign w:val="bottom"/>
          </w:tcPr>
          <w:p>
            <w:pPr>
              <w:jc w:val="center"/>
              <w:rPr>
                <w:rFonts w:ascii="宋体"/>
                <w:snapToGrid w:val="0"/>
                <w:color w:val="auto"/>
                <w:kern w:val="0"/>
                <w:sz w:val="18"/>
                <w:szCs w:val="18"/>
              </w:rPr>
            </w:pPr>
            <w:r>
              <w:rPr>
                <w:rFonts w:ascii="宋体" w:hAnsi="宋体" w:cs="宋体"/>
                <w:snapToGrid w:val="0"/>
                <w:color w:val="auto"/>
                <w:kern w:val="0"/>
                <w:sz w:val="18"/>
                <w:szCs w:val="18"/>
              </w:rPr>
              <w:t>13%、9%、6%、5%、3%、1</w:t>
            </w:r>
            <w:r>
              <w:rPr>
                <w:rFonts w:hint="eastAsia" w:ascii="宋体" w:hAnsi="宋体" w:cs="宋体"/>
                <w:snapToGrid w:val="0"/>
                <w:color w:val="auto"/>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80" w:type="dxa"/>
            <w:vAlign w:val="bottom"/>
          </w:tcPr>
          <w:p>
            <w:pPr>
              <w:rPr>
                <w:rFonts w:ascii="宋体"/>
                <w:snapToGrid w:val="0"/>
                <w:color w:val="auto"/>
                <w:kern w:val="0"/>
                <w:sz w:val="18"/>
                <w:szCs w:val="18"/>
              </w:rPr>
            </w:pPr>
            <w:r>
              <w:rPr>
                <w:rFonts w:hint="eastAsia" w:ascii="宋体" w:hAnsi="宋体" w:cs="宋体"/>
                <w:snapToGrid w:val="0"/>
                <w:color w:val="auto"/>
                <w:kern w:val="0"/>
                <w:sz w:val="18"/>
                <w:szCs w:val="18"/>
              </w:rPr>
              <w:t>城市维护建设税</w:t>
            </w:r>
          </w:p>
        </w:tc>
        <w:tc>
          <w:tcPr>
            <w:tcW w:w="3420" w:type="dxa"/>
            <w:vAlign w:val="bottom"/>
          </w:tcPr>
          <w:p>
            <w:pPr>
              <w:jc w:val="center"/>
              <w:rPr>
                <w:rFonts w:ascii="宋体"/>
                <w:snapToGrid w:val="0"/>
                <w:color w:val="auto"/>
                <w:kern w:val="0"/>
                <w:sz w:val="18"/>
                <w:szCs w:val="18"/>
              </w:rPr>
            </w:pPr>
            <w:r>
              <w:rPr>
                <w:rFonts w:hint="eastAsia" w:ascii="宋体" w:hAnsi="宋体" w:cs="宋体"/>
                <w:snapToGrid w:val="0"/>
                <w:color w:val="auto"/>
                <w:kern w:val="0"/>
                <w:sz w:val="18"/>
                <w:szCs w:val="18"/>
              </w:rPr>
              <w:t>应交流转税额</w:t>
            </w:r>
          </w:p>
        </w:tc>
        <w:tc>
          <w:tcPr>
            <w:tcW w:w="2700" w:type="dxa"/>
            <w:vAlign w:val="bottom"/>
          </w:tcPr>
          <w:p>
            <w:pPr>
              <w:jc w:val="center"/>
              <w:rPr>
                <w:rFonts w:ascii="宋体"/>
                <w:snapToGrid w:val="0"/>
                <w:color w:val="auto"/>
                <w:kern w:val="0"/>
                <w:sz w:val="18"/>
                <w:szCs w:val="18"/>
              </w:rPr>
            </w:pPr>
            <w:r>
              <w:rPr>
                <w:rFonts w:ascii="宋体" w:hAnsi="宋体" w:cs="宋体"/>
                <w:snapToGrid w:val="0"/>
                <w:color w:val="auto"/>
                <w:kern w:val="0"/>
                <w:sz w:val="18"/>
                <w:szCs w:val="18"/>
              </w:rPr>
              <w:t>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80" w:type="dxa"/>
            <w:vAlign w:val="bottom"/>
          </w:tcPr>
          <w:p>
            <w:pPr>
              <w:rPr>
                <w:rFonts w:ascii="宋体"/>
                <w:snapToGrid w:val="0"/>
                <w:color w:val="auto"/>
                <w:kern w:val="0"/>
                <w:sz w:val="18"/>
                <w:szCs w:val="18"/>
              </w:rPr>
            </w:pPr>
            <w:r>
              <w:rPr>
                <w:rFonts w:hint="eastAsia" w:ascii="宋体" w:hAnsi="宋体" w:cs="宋体"/>
                <w:snapToGrid w:val="0"/>
                <w:color w:val="auto"/>
                <w:kern w:val="0"/>
                <w:sz w:val="18"/>
                <w:szCs w:val="18"/>
              </w:rPr>
              <w:t>教育费附加</w:t>
            </w:r>
          </w:p>
        </w:tc>
        <w:tc>
          <w:tcPr>
            <w:tcW w:w="3420" w:type="dxa"/>
            <w:vAlign w:val="bottom"/>
          </w:tcPr>
          <w:p>
            <w:pPr>
              <w:jc w:val="center"/>
              <w:rPr>
                <w:rFonts w:ascii="宋体"/>
                <w:snapToGrid w:val="0"/>
                <w:color w:val="auto"/>
                <w:kern w:val="0"/>
                <w:sz w:val="18"/>
                <w:szCs w:val="18"/>
              </w:rPr>
            </w:pPr>
            <w:r>
              <w:rPr>
                <w:rFonts w:hint="eastAsia" w:ascii="宋体" w:hAnsi="宋体" w:cs="宋体"/>
                <w:snapToGrid w:val="0"/>
                <w:color w:val="auto"/>
                <w:kern w:val="0"/>
                <w:sz w:val="18"/>
                <w:szCs w:val="18"/>
              </w:rPr>
              <w:t>应交流转税额</w:t>
            </w:r>
          </w:p>
        </w:tc>
        <w:tc>
          <w:tcPr>
            <w:tcW w:w="2700" w:type="dxa"/>
            <w:vAlign w:val="bottom"/>
          </w:tcPr>
          <w:p>
            <w:pPr>
              <w:jc w:val="center"/>
              <w:rPr>
                <w:rFonts w:ascii="宋体"/>
                <w:snapToGrid w:val="0"/>
                <w:color w:val="auto"/>
                <w:kern w:val="0"/>
                <w:sz w:val="18"/>
                <w:szCs w:val="18"/>
              </w:rPr>
            </w:pPr>
            <w:r>
              <w:rPr>
                <w:rFonts w:ascii="宋体" w:hAnsi="宋体" w:cs="宋体"/>
                <w:snapToGrid w:val="0"/>
                <w:color w:val="auto"/>
                <w:kern w:val="0"/>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80" w:type="dxa"/>
            <w:vAlign w:val="bottom"/>
          </w:tcPr>
          <w:p>
            <w:pPr>
              <w:rPr>
                <w:rFonts w:ascii="宋体"/>
                <w:snapToGrid w:val="0"/>
                <w:color w:val="auto"/>
                <w:kern w:val="0"/>
                <w:sz w:val="18"/>
                <w:szCs w:val="18"/>
              </w:rPr>
            </w:pPr>
            <w:r>
              <w:rPr>
                <w:rFonts w:hint="eastAsia" w:ascii="宋体" w:hAnsi="宋体" w:cs="宋体"/>
                <w:snapToGrid w:val="0"/>
                <w:color w:val="auto"/>
                <w:kern w:val="0"/>
                <w:sz w:val="18"/>
                <w:szCs w:val="18"/>
              </w:rPr>
              <w:t>地方教育费附加</w:t>
            </w:r>
          </w:p>
        </w:tc>
        <w:tc>
          <w:tcPr>
            <w:tcW w:w="3420" w:type="dxa"/>
            <w:vAlign w:val="bottom"/>
          </w:tcPr>
          <w:p>
            <w:pPr>
              <w:jc w:val="center"/>
              <w:rPr>
                <w:rFonts w:ascii="宋体"/>
                <w:snapToGrid w:val="0"/>
                <w:color w:val="auto"/>
                <w:kern w:val="0"/>
                <w:sz w:val="18"/>
                <w:szCs w:val="18"/>
              </w:rPr>
            </w:pPr>
            <w:r>
              <w:rPr>
                <w:rFonts w:hint="eastAsia" w:ascii="宋体" w:hAnsi="宋体" w:cs="宋体"/>
                <w:snapToGrid w:val="0"/>
                <w:color w:val="auto"/>
                <w:kern w:val="0"/>
                <w:sz w:val="18"/>
                <w:szCs w:val="18"/>
              </w:rPr>
              <w:t>应交流转税额</w:t>
            </w:r>
          </w:p>
        </w:tc>
        <w:tc>
          <w:tcPr>
            <w:tcW w:w="2700" w:type="dxa"/>
            <w:vAlign w:val="bottom"/>
          </w:tcPr>
          <w:p>
            <w:pPr>
              <w:jc w:val="center"/>
              <w:rPr>
                <w:rFonts w:ascii="宋体"/>
                <w:snapToGrid w:val="0"/>
                <w:color w:val="auto"/>
                <w:kern w:val="0"/>
                <w:sz w:val="18"/>
                <w:szCs w:val="18"/>
              </w:rPr>
            </w:pPr>
            <w:r>
              <w:rPr>
                <w:rFonts w:ascii="宋体" w:hAnsi="宋体" w:cs="宋体"/>
                <w:snapToGrid w:val="0"/>
                <w:color w:val="auto"/>
                <w:kern w:val="0"/>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80" w:type="dxa"/>
            <w:tcBorders>
              <w:bottom w:val="single" w:color="auto" w:sz="12" w:space="0"/>
            </w:tcBorders>
            <w:vAlign w:val="bottom"/>
          </w:tcPr>
          <w:p>
            <w:pPr>
              <w:rPr>
                <w:rFonts w:ascii="宋体"/>
                <w:snapToGrid w:val="0"/>
                <w:color w:val="auto"/>
                <w:kern w:val="0"/>
                <w:sz w:val="18"/>
                <w:szCs w:val="18"/>
              </w:rPr>
            </w:pPr>
            <w:r>
              <w:rPr>
                <w:rFonts w:hint="eastAsia" w:ascii="宋体" w:hAnsi="宋体" w:cs="宋体"/>
                <w:snapToGrid w:val="0"/>
                <w:color w:val="auto"/>
                <w:kern w:val="0"/>
                <w:sz w:val="18"/>
                <w:szCs w:val="18"/>
              </w:rPr>
              <w:t>企业所得税</w:t>
            </w:r>
          </w:p>
        </w:tc>
        <w:tc>
          <w:tcPr>
            <w:tcW w:w="3420" w:type="dxa"/>
            <w:tcBorders>
              <w:bottom w:val="single" w:color="auto" w:sz="12" w:space="0"/>
            </w:tcBorders>
            <w:vAlign w:val="bottom"/>
          </w:tcPr>
          <w:p>
            <w:pPr>
              <w:jc w:val="center"/>
              <w:rPr>
                <w:rFonts w:ascii="宋体"/>
                <w:snapToGrid w:val="0"/>
                <w:color w:val="auto"/>
                <w:kern w:val="0"/>
                <w:sz w:val="18"/>
                <w:szCs w:val="18"/>
              </w:rPr>
            </w:pPr>
            <w:r>
              <w:rPr>
                <w:rFonts w:hint="eastAsia" w:ascii="宋体" w:hAnsi="宋体" w:cs="宋体"/>
                <w:snapToGrid w:val="0"/>
                <w:color w:val="auto"/>
                <w:kern w:val="0"/>
                <w:sz w:val="18"/>
                <w:szCs w:val="18"/>
              </w:rPr>
              <w:t>应纳税所得额</w:t>
            </w:r>
          </w:p>
        </w:tc>
        <w:tc>
          <w:tcPr>
            <w:tcW w:w="2700" w:type="dxa"/>
            <w:tcBorders>
              <w:bottom w:val="single" w:color="auto" w:sz="12" w:space="0"/>
            </w:tcBorders>
            <w:vAlign w:val="bottom"/>
          </w:tcPr>
          <w:p>
            <w:pPr>
              <w:jc w:val="center"/>
              <w:rPr>
                <w:rFonts w:ascii="宋体"/>
                <w:snapToGrid w:val="0"/>
                <w:color w:val="auto"/>
                <w:kern w:val="0"/>
                <w:sz w:val="18"/>
                <w:szCs w:val="18"/>
              </w:rPr>
            </w:pPr>
            <w:r>
              <w:rPr>
                <w:rFonts w:ascii="宋体" w:hAnsi="宋体" w:cs="宋体"/>
                <w:snapToGrid w:val="0"/>
                <w:color w:val="auto"/>
                <w:kern w:val="0"/>
                <w:sz w:val="18"/>
                <w:szCs w:val="18"/>
              </w:rPr>
              <w:t>15%、20%、25%</w:t>
            </w:r>
          </w:p>
        </w:tc>
      </w:tr>
    </w:tbl>
    <w:p>
      <w:pPr>
        <w:spacing w:line="360" w:lineRule="auto"/>
        <w:ind w:right="170" w:firstLine="420" w:firstLineChars="200"/>
        <w:rPr>
          <w:rFonts w:ascii="宋体" w:hAnsi="宋体"/>
          <w:color w:val="auto"/>
        </w:rPr>
      </w:pPr>
      <w:r>
        <w:rPr>
          <w:rFonts w:ascii="宋体" w:hAnsi="宋体"/>
          <w:color w:val="auto"/>
        </w:rPr>
        <w:t>1</w:t>
      </w:r>
      <w:r>
        <w:rPr>
          <w:rFonts w:hint="eastAsia" w:ascii="宋体" w:hAnsi="宋体"/>
          <w:color w:val="auto"/>
        </w:rPr>
        <w:t>、增值税：</w:t>
      </w:r>
    </w:p>
    <w:p>
      <w:pPr>
        <w:spacing w:line="360" w:lineRule="auto"/>
        <w:ind w:right="170" w:firstLine="420" w:firstLineChars="200"/>
        <w:rPr>
          <w:rFonts w:ascii="宋体" w:hAnsi="宋体"/>
          <w:color w:val="auto"/>
        </w:rPr>
      </w:pPr>
      <w:r>
        <w:rPr>
          <w:rFonts w:hint="eastAsia" w:ascii="宋体" w:hAnsi="宋体"/>
          <w:color w:val="auto"/>
        </w:rPr>
        <w:t>公司及子公司产品销售业务、设备租赁、加工费等按应税收入的13%计缴增值税；公司及子公司不动产租赁业务及水、气收入按应税收入的9%、5%计缴增值税；公司检测费等收入按应税收入的6%计缴增值税；公司子公司青岛伟隆五金机械有限公司为小规模纳税人，</w:t>
      </w:r>
      <w:r>
        <w:rPr>
          <w:rFonts w:hint="eastAsia" w:ascii="宋体" w:hAnsi="宋体"/>
          <w:color w:val="auto"/>
        </w:rPr>
        <w:t>销售业务收入减按应税收入的1%计缴增值税，租赁收入按照应税收入的5%计缴增值税。</w:t>
      </w:r>
    </w:p>
    <w:p>
      <w:pPr>
        <w:spacing w:line="360" w:lineRule="auto"/>
        <w:ind w:right="170" w:firstLine="420" w:firstLineChars="200"/>
        <w:rPr>
          <w:rFonts w:ascii="宋体" w:hAnsi="宋体"/>
          <w:color w:val="auto"/>
        </w:rPr>
      </w:pPr>
      <w:r>
        <w:rPr>
          <w:rFonts w:hint="eastAsia" w:ascii="宋体" w:hAnsi="宋体"/>
          <w:color w:val="auto"/>
        </w:rPr>
        <w:t>2、企业所得税：</w:t>
      </w:r>
    </w:p>
    <w:p>
      <w:pPr>
        <w:spacing w:line="360" w:lineRule="auto"/>
        <w:ind w:right="170" w:firstLine="420" w:firstLineChars="200"/>
        <w:rPr>
          <w:rFonts w:ascii="宋体" w:hAnsi="宋体"/>
          <w:color w:val="auto"/>
        </w:rPr>
      </w:pPr>
      <w:r>
        <w:rPr>
          <w:rFonts w:hint="eastAsia" w:ascii="宋体" w:hAnsi="宋体"/>
          <w:color w:val="auto"/>
        </w:rPr>
        <w:t>（1）公司适用15%的所得税率，子公司莱州伟隆阀门有限公司适用15%的所得税率；</w:t>
      </w:r>
    </w:p>
    <w:p>
      <w:pPr>
        <w:spacing w:line="360" w:lineRule="auto"/>
        <w:ind w:right="170" w:firstLine="420" w:firstLineChars="200"/>
        <w:rPr>
          <w:rFonts w:ascii="宋体" w:hAnsi="宋体"/>
          <w:color w:val="auto"/>
        </w:rPr>
      </w:pPr>
      <w:r>
        <w:rPr>
          <w:rFonts w:hint="eastAsia" w:ascii="宋体" w:hAnsi="宋体"/>
          <w:color w:val="auto"/>
        </w:rPr>
        <w:t>（2）子公司青岛伟隆流体设备有限公司适用25%的所得税率；</w:t>
      </w:r>
    </w:p>
    <w:p>
      <w:pPr>
        <w:spacing w:line="360" w:lineRule="auto"/>
        <w:ind w:right="170" w:firstLine="420" w:firstLineChars="200"/>
        <w:rPr>
          <w:rFonts w:ascii="宋体" w:hAnsi="宋体"/>
          <w:color w:val="auto"/>
        </w:rPr>
      </w:pPr>
      <w:r>
        <w:rPr>
          <w:rFonts w:hint="eastAsia" w:ascii="宋体" w:hAnsi="宋体"/>
          <w:color w:val="auto"/>
        </w:rPr>
        <w:t>（3）公司子公司青岛伟隆五金机械有限公司、青岛卓信检测技术有限公司符合小型微利企业标准，根据财政部税务总局公告2021年第8号《国家税务总局关于落实支持小型微利企业和个体工商户发展所得税优惠政策有关事项的公告》：关于小型微利企业所得税减半政策有关事项(一)对小型微利企业年应纳税所得额不超过100万元的部分，减按12.5%计入应纳税所得额，按20%的税率缴纳企业所得税。本公告第一条自2021年1月1日起施行，2022年12月31日终止执行；根据财政部税务总局公告2022年第13号《财政部税务总局关于进一步实施小微企业所得税优惠政策的公告》规定：“一、对小型微利企业年应纳税所得额超过100万元但不超过300万元的部分，减按25%计入应纳税所得额，按20%的税率缴纳企业所得税。三、本公告执行期限为2022年1月1日至2024年12月31日。”。</w:t>
      </w:r>
    </w:p>
    <w:p>
      <w:pPr>
        <w:spacing w:line="360" w:lineRule="auto"/>
        <w:ind w:right="170" w:firstLine="420" w:firstLineChars="200"/>
        <w:rPr>
          <w:rFonts w:ascii="宋体" w:hAnsi="宋体"/>
          <w:b/>
          <w:color w:val="auto"/>
          <w:szCs w:val="21"/>
        </w:rPr>
      </w:pPr>
      <w:r>
        <w:rPr>
          <w:rFonts w:hint="eastAsia" w:ascii="宋体" w:hAnsi="宋体"/>
          <w:b/>
          <w:color w:val="auto"/>
          <w:szCs w:val="21"/>
        </w:rPr>
        <w:t>（二）税收优惠及批文</w:t>
      </w:r>
    </w:p>
    <w:p>
      <w:pPr>
        <w:spacing w:line="360" w:lineRule="auto"/>
        <w:ind w:firstLine="420" w:firstLineChars="200"/>
        <w:rPr>
          <w:rFonts w:ascii="宋体" w:hAnsi="宋体" w:cs="宋体"/>
          <w:color w:val="auto"/>
        </w:rPr>
      </w:pPr>
      <w:r>
        <w:rPr>
          <w:rFonts w:hint="eastAsia" w:ascii="宋体" w:hAnsi="宋体" w:cs="宋体"/>
          <w:color w:val="auto"/>
        </w:rPr>
        <w:t>公司2021年公司进行高新技术企业重新认定，2021年12月14日，取得编号为</w:t>
      </w:r>
      <w:r>
        <w:rPr>
          <w:rFonts w:ascii="宋体" w:hAnsi="宋体" w:cs="宋体"/>
          <w:color w:val="auto"/>
        </w:rPr>
        <w:t>GR202137101903</w:t>
      </w:r>
      <w:r>
        <w:rPr>
          <w:rFonts w:hint="eastAsia" w:ascii="宋体" w:hAnsi="宋体" w:cs="宋体"/>
          <w:color w:val="auto"/>
        </w:rPr>
        <w:t>的高新技术企业证书，自</w:t>
      </w:r>
      <w:r>
        <w:rPr>
          <w:rFonts w:ascii="宋体" w:hAnsi="宋体" w:cs="宋体"/>
          <w:color w:val="auto"/>
        </w:rPr>
        <w:t>20</w:t>
      </w:r>
      <w:r>
        <w:rPr>
          <w:rFonts w:hint="eastAsia" w:ascii="宋体" w:hAnsi="宋体" w:cs="宋体"/>
          <w:color w:val="auto"/>
        </w:rPr>
        <w:t>21至</w:t>
      </w:r>
      <w:r>
        <w:rPr>
          <w:rFonts w:ascii="宋体" w:hAnsi="宋体" w:cs="宋体"/>
          <w:color w:val="auto"/>
        </w:rPr>
        <w:t>20</w:t>
      </w:r>
      <w:r>
        <w:rPr>
          <w:rFonts w:hint="eastAsia" w:ascii="宋体" w:hAnsi="宋体" w:cs="宋体"/>
          <w:color w:val="auto"/>
        </w:rPr>
        <w:t>23年度执行</w:t>
      </w:r>
      <w:r>
        <w:rPr>
          <w:rFonts w:ascii="宋体" w:hAnsi="宋体" w:cs="宋体"/>
          <w:color w:val="auto"/>
        </w:rPr>
        <w:t>15%</w:t>
      </w:r>
      <w:r>
        <w:rPr>
          <w:rFonts w:hint="eastAsia" w:ascii="宋体" w:hAnsi="宋体" w:cs="宋体"/>
          <w:color w:val="auto"/>
        </w:rPr>
        <w:t>的企业所得税率。</w:t>
      </w:r>
    </w:p>
    <w:p>
      <w:pPr>
        <w:spacing w:line="360" w:lineRule="auto"/>
        <w:ind w:firstLine="420" w:firstLineChars="200"/>
        <w:rPr>
          <w:rFonts w:ascii="宋体" w:hAnsi="宋体"/>
          <w:color w:val="auto"/>
        </w:rPr>
      </w:pPr>
      <w:r>
        <w:rPr>
          <w:rFonts w:hint="eastAsia" w:ascii="宋体" w:hAnsi="宋体"/>
          <w:color w:val="auto"/>
        </w:rPr>
        <w:t>公司子公司莱州伟隆阀门有限公司于20</w:t>
      </w:r>
      <w:r>
        <w:rPr>
          <w:rFonts w:ascii="宋体" w:hAnsi="宋体"/>
          <w:color w:val="auto"/>
        </w:rPr>
        <w:t>22</w:t>
      </w:r>
      <w:r>
        <w:rPr>
          <w:rFonts w:hint="eastAsia" w:ascii="宋体" w:hAnsi="宋体"/>
          <w:color w:val="auto"/>
        </w:rPr>
        <w:t xml:space="preserve"> 年 </w:t>
      </w:r>
      <w:r>
        <w:rPr>
          <w:rFonts w:ascii="宋体" w:hAnsi="宋体"/>
          <w:color w:val="auto"/>
        </w:rPr>
        <w:t>1</w:t>
      </w:r>
      <w:r>
        <w:rPr>
          <w:rFonts w:hint="eastAsia" w:ascii="宋体" w:hAnsi="宋体"/>
          <w:color w:val="auto"/>
        </w:rPr>
        <w:t>2月</w:t>
      </w:r>
      <w:r>
        <w:rPr>
          <w:rFonts w:ascii="宋体" w:hAnsi="宋体"/>
          <w:color w:val="auto"/>
        </w:rPr>
        <w:t>1</w:t>
      </w:r>
      <w:r>
        <w:rPr>
          <w:rFonts w:hint="eastAsia" w:ascii="宋体" w:hAnsi="宋体"/>
          <w:color w:val="auto"/>
        </w:rPr>
        <w:t>2 日，根据《高新技术企业认定管理办法》（国科发火〔2016〕32号）和《高新技术企业认定管理工作指引》（国科发火〔2016〕195号）有关规定，公司被认定为2022年第二批高新技术企业，并进行备案公示，高新技术企业资格证书编号:</w:t>
      </w:r>
      <w:r>
        <w:rPr>
          <w:color w:val="auto"/>
        </w:rPr>
        <w:t xml:space="preserve"> </w:t>
      </w:r>
      <w:r>
        <w:rPr>
          <w:rFonts w:ascii="宋体" w:hAnsi="宋体"/>
          <w:color w:val="auto"/>
        </w:rPr>
        <w:t>GR202237000114</w:t>
      </w:r>
      <w:r>
        <w:rPr>
          <w:rFonts w:hint="eastAsia" w:ascii="宋体" w:hAnsi="宋体"/>
          <w:color w:val="auto"/>
        </w:rPr>
        <w:t>，资格有效期为三年，企业所得税优惠期为2022年1月1日至2024年12月31日，</w:t>
      </w:r>
      <w:r>
        <w:rPr>
          <w:rFonts w:hint="eastAsia" w:ascii="宋体" w:hAnsi="宋体" w:cs="宋体"/>
          <w:color w:val="auto"/>
        </w:rPr>
        <w:t>自</w:t>
      </w:r>
      <w:r>
        <w:rPr>
          <w:rFonts w:ascii="宋体" w:hAnsi="宋体" w:cs="宋体"/>
          <w:color w:val="auto"/>
        </w:rPr>
        <w:t>2022</w:t>
      </w:r>
      <w:r>
        <w:rPr>
          <w:rFonts w:hint="eastAsia" w:ascii="宋体" w:hAnsi="宋体" w:cs="宋体"/>
          <w:color w:val="auto"/>
        </w:rPr>
        <w:t>至</w:t>
      </w:r>
      <w:r>
        <w:rPr>
          <w:rFonts w:ascii="宋体" w:hAnsi="宋体" w:cs="宋体"/>
          <w:color w:val="auto"/>
        </w:rPr>
        <w:t>20</w:t>
      </w:r>
      <w:r>
        <w:rPr>
          <w:rFonts w:hint="eastAsia" w:ascii="宋体" w:hAnsi="宋体" w:cs="宋体"/>
          <w:color w:val="auto"/>
        </w:rPr>
        <w:t>2</w:t>
      </w:r>
      <w:r>
        <w:rPr>
          <w:rFonts w:ascii="宋体" w:hAnsi="宋体" w:cs="宋体"/>
          <w:color w:val="auto"/>
        </w:rPr>
        <w:t>4</w:t>
      </w:r>
      <w:r>
        <w:rPr>
          <w:rFonts w:hint="eastAsia" w:ascii="宋体" w:hAnsi="宋体" w:cs="宋体"/>
          <w:color w:val="auto"/>
        </w:rPr>
        <w:t>年度执行</w:t>
      </w:r>
      <w:r>
        <w:rPr>
          <w:rFonts w:ascii="宋体" w:hAnsi="宋体" w:cs="宋体"/>
          <w:color w:val="auto"/>
        </w:rPr>
        <w:t>15%</w:t>
      </w:r>
      <w:r>
        <w:rPr>
          <w:rFonts w:hint="eastAsia" w:ascii="宋体" w:hAnsi="宋体" w:cs="宋体"/>
          <w:color w:val="auto"/>
        </w:rPr>
        <w:t>的企业所得税率。</w:t>
      </w:r>
    </w:p>
    <w:p>
      <w:pPr>
        <w:spacing w:line="360" w:lineRule="auto"/>
        <w:ind w:firstLine="420" w:firstLineChars="200"/>
        <w:rPr>
          <w:rFonts w:ascii="宋体" w:hAnsi="宋体"/>
          <w:color w:val="auto"/>
        </w:rPr>
      </w:pPr>
      <w:r>
        <w:rPr>
          <w:rFonts w:hint="eastAsia" w:ascii="宋体" w:hAnsi="宋体"/>
          <w:color w:val="auto"/>
        </w:rPr>
        <w:t>根据《财政部税务总局关于明确增值税小规模纳税人免征增值税政策的公告》（2021年第11号)）“为进一步支持小微企业发展，现将增值税小规模纳税人免征增值税政策公告：自2021年4月1日至2022年12月31日,对月销售额15万元以下（含本数）的增值税小规模纳税人，免征增值税。” 公司子公司青岛伟隆五金机械有限公司符合相关标准，免征增值税。</w:t>
      </w:r>
    </w:p>
    <w:p>
      <w:pPr>
        <w:pStyle w:val="5"/>
        <w:spacing w:before="150" w:beforeLines="50" w:after="150" w:afterLines="50" w:line="360" w:lineRule="auto"/>
        <w:ind w:firstLine="480" w:firstLineChars="200"/>
        <w:outlineLvl w:val="0"/>
        <w:rPr>
          <w:rFonts w:ascii="宋体" w:hAnsi="宋体" w:eastAsia="宋体"/>
          <w:b/>
          <w:color w:val="auto"/>
          <w:sz w:val="24"/>
          <w:szCs w:val="24"/>
        </w:rPr>
      </w:pPr>
      <w:r>
        <w:rPr>
          <w:rFonts w:hint="eastAsia" w:ascii="宋体" w:hAnsi="宋体" w:eastAsia="宋体"/>
          <w:b/>
          <w:color w:val="auto"/>
          <w:sz w:val="24"/>
          <w:szCs w:val="24"/>
        </w:rPr>
        <w:t>五、合并财务报表主要项目注释</w:t>
      </w:r>
    </w:p>
    <w:p>
      <w:pPr>
        <w:spacing w:line="360" w:lineRule="auto"/>
        <w:ind w:firstLine="482"/>
        <w:rPr>
          <w:rFonts w:ascii="宋体"/>
          <w:color w:val="auto"/>
          <w:szCs w:val="21"/>
        </w:rPr>
      </w:pPr>
      <w:r>
        <w:rPr>
          <w:rFonts w:hint="eastAsia" w:ascii="宋体" w:hAnsi="宋体"/>
          <w:color w:val="auto"/>
          <w:szCs w:val="21"/>
        </w:rPr>
        <w:t>下列注释项目除特别注明的外，期初数系指</w:t>
      </w:r>
      <w:r>
        <w:rPr>
          <w:rFonts w:ascii="宋体" w:hAnsi="宋体"/>
          <w:color w:val="auto"/>
          <w:szCs w:val="21"/>
        </w:rPr>
        <w:t>20</w:t>
      </w:r>
      <w:r>
        <w:rPr>
          <w:rFonts w:hint="eastAsia" w:ascii="宋体" w:hAnsi="宋体"/>
          <w:color w:val="auto"/>
          <w:szCs w:val="21"/>
        </w:rPr>
        <w:t>2</w:t>
      </w:r>
      <w:r>
        <w:rPr>
          <w:rFonts w:ascii="宋体" w:hAnsi="宋体"/>
          <w:color w:val="auto"/>
          <w:szCs w:val="21"/>
        </w:rPr>
        <w:t>2</w:t>
      </w:r>
      <w:r>
        <w:rPr>
          <w:rFonts w:hint="eastAsia" w:ascii="宋体" w:hAnsi="宋体"/>
          <w:color w:val="auto"/>
          <w:szCs w:val="21"/>
        </w:rPr>
        <w:t>年</w:t>
      </w:r>
      <w:r>
        <w:rPr>
          <w:rFonts w:ascii="宋体" w:hAnsi="宋体"/>
          <w:color w:val="auto"/>
          <w:szCs w:val="21"/>
        </w:rPr>
        <w:t>1</w:t>
      </w:r>
      <w:r>
        <w:rPr>
          <w:rFonts w:hint="eastAsia" w:ascii="宋体" w:hAnsi="宋体"/>
          <w:color w:val="auto"/>
          <w:szCs w:val="21"/>
        </w:rPr>
        <w:t>月</w:t>
      </w:r>
      <w:r>
        <w:rPr>
          <w:rFonts w:ascii="宋体" w:hAnsi="宋体"/>
          <w:color w:val="auto"/>
          <w:szCs w:val="21"/>
        </w:rPr>
        <w:t>1</w:t>
      </w:r>
      <w:r>
        <w:rPr>
          <w:rFonts w:hint="eastAsia" w:ascii="宋体" w:hAnsi="宋体"/>
          <w:color w:val="auto"/>
          <w:szCs w:val="21"/>
        </w:rPr>
        <w:t>日，期末数系指</w:t>
      </w:r>
      <w:r>
        <w:rPr>
          <w:rFonts w:ascii="宋体" w:hAnsi="宋体"/>
          <w:color w:val="auto"/>
          <w:szCs w:val="21"/>
        </w:rPr>
        <w:t>20</w:t>
      </w:r>
      <w:r>
        <w:rPr>
          <w:rFonts w:hint="eastAsia" w:ascii="宋体" w:hAnsi="宋体"/>
          <w:color w:val="auto"/>
          <w:szCs w:val="21"/>
        </w:rPr>
        <w:t>2</w:t>
      </w:r>
      <w:r>
        <w:rPr>
          <w:rFonts w:ascii="宋体" w:hAnsi="宋体"/>
          <w:color w:val="auto"/>
          <w:szCs w:val="21"/>
        </w:rPr>
        <w:t>2年</w:t>
      </w:r>
      <w:r>
        <w:rPr>
          <w:rFonts w:hint="eastAsia" w:ascii="宋体" w:hAnsi="宋体"/>
          <w:color w:val="auto"/>
          <w:szCs w:val="21"/>
        </w:rPr>
        <w:t>12</w:t>
      </w:r>
      <w:r>
        <w:rPr>
          <w:rFonts w:ascii="宋体" w:hAnsi="宋体"/>
          <w:color w:val="auto"/>
          <w:szCs w:val="21"/>
        </w:rPr>
        <w:t>月3</w:t>
      </w:r>
      <w:r>
        <w:rPr>
          <w:rFonts w:hint="eastAsia" w:ascii="宋体" w:hAnsi="宋体"/>
          <w:color w:val="auto"/>
          <w:szCs w:val="21"/>
        </w:rPr>
        <w:t>1</w:t>
      </w:r>
      <w:r>
        <w:rPr>
          <w:rFonts w:ascii="宋体" w:hAnsi="宋体"/>
          <w:color w:val="auto"/>
          <w:szCs w:val="21"/>
        </w:rPr>
        <w:t>日</w:t>
      </w:r>
      <w:r>
        <w:rPr>
          <w:rFonts w:hint="eastAsia" w:ascii="宋体" w:hAnsi="宋体"/>
          <w:color w:val="auto"/>
          <w:szCs w:val="21"/>
        </w:rPr>
        <w:t>；未注明货币单位的均为人民币元。</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1、货币资金</w:t>
      </w:r>
    </w:p>
    <w:p>
      <w:pPr>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（1）明细项目：</w:t>
      </w:r>
    </w:p>
    <w:tbl>
      <w:tblPr>
        <w:tblStyle w:val="9"/>
        <w:tblW w:w="4915" w:type="pct"/>
        <w:tblCaption w:val="&quot;\\lisheng\共享\1、伟隆2022年度审计\1、2022年度审计\1、附注及报告\2022年\附注计算-伟隆 - 2022.xlsx&quot; &quot;2022附注格式!_ReportTable_0012&quot;"/>
        <w:tblDescription w:val="A4:C8"/>
        <w:tblInd w:w="107" w:type="dxa"/>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Layout w:type="autofit"/>
        <w:tblCellMar>
          <w:top w:w="0" w:type="dxa"/>
          <w:left w:w="107" w:type="dxa"/>
          <w:bottom w:w="0" w:type="dxa"/>
          <w:right w:w="107" w:type="dxa"/>
        </w:tblCellMar>
      </w:tblPr>
      <w:tblGrid>
        <w:gridCol w:w="3166"/>
        <w:gridCol w:w="3258"/>
        <w:gridCol w:w="3260"/>
      </w:tblGrid>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1635" w:type="pct"/>
            <w:tcBorders>
              <w:top w:val="single" w:color="000000" w:sz="12" w:space="0"/>
              <w:left w:val="nil"/>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项</w:t>
            </w:r>
            <w:r>
              <w:rPr>
                <w:rFonts w:ascii="宋体" w:hAnsi="宋体"/>
                <w:b/>
                <w:color w:val="auto"/>
                <w:sz w:val="18"/>
                <w:szCs w:val="18"/>
              </w:rPr>
              <w:t xml:space="preserve">   目</w:t>
            </w:r>
          </w:p>
        </w:tc>
        <w:tc>
          <w:tcPr>
            <w:tcW w:w="1682" w:type="pct"/>
            <w:tcBorders>
              <w:top w:val="single" w:color="000000" w:sz="12"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期末余额</w:t>
            </w:r>
          </w:p>
        </w:tc>
        <w:tc>
          <w:tcPr>
            <w:tcW w:w="1683" w:type="pct"/>
            <w:tcBorders>
              <w:top w:val="single" w:color="000000" w:sz="12" w:space="0"/>
              <w:left w:val="single" w:color="auto" w:sz="4" w:space="0"/>
              <w:bottom w:val="single" w:color="auto" w:sz="12" w:space="0"/>
              <w:right w:val="nil"/>
            </w:tcBorders>
            <w:vAlign w:val="center"/>
          </w:tcPr>
          <w:p>
            <w:pPr>
              <w:jc w:val="center"/>
              <w:rPr>
                <w:rFonts w:ascii="宋体" w:hAnsi="宋体"/>
                <w:b/>
                <w:color w:val="auto"/>
                <w:sz w:val="18"/>
                <w:szCs w:val="18"/>
              </w:rPr>
            </w:pPr>
            <w:r>
              <w:rPr>
                <w:rFonts w:hint="eastAsia" w:ascii="宋体" w:hAnsi="宋体"/>
                <w:b/>
                <w:color w:val="auto"/>
                <w:sz w:val="18"/>
                <w:szCs w:val="18"/>
              </w:rPr>
              <w:t>期初余额</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1635" w:type="pct"/>
            <w:tcBorders>
              <w:top w:val="single" w:color="auto" w:sz="12" w:space="0"/>
              <w:left w:val="nil"/>
              <w:bottom w:val="single" w:color="auto" w:sz="4" w:space="0"/>
              <w:right w:val="single" w:color="auto" w:sz="4" w:space="0"/>
            </w:tcBorders>
            <w:vAlign w:val="bottom"/>
          </w:tcPr>
          <w:p>
            <w:pPr>
              <w:rPr>
                <w:rFonts w:ascii="宋体" w:hAnsi="宋体"/>
                <w:color w:val="auto"/>
                <w:spacing w:val="4"/>
                <w:sz w:val="18"/>
                <w:szCs w:val="18"/>
              </w:rPr>
            </w:pPr>
            <w:r>
              <w:rPr>
                <w:rFonts w:hint="eastAsia" w:ascii="宋体" w:hAnsi="宋体"/>
                <w:color w:val="auto"/>
                <w:spacing w:val="4"/>
                <w:sz w:val="18"/>
                <w:szCs w:val="18"/>
              </w:rPr>
              <w:t>现金</w:t>
            </w:r>
          </w:p>
        </w:tc>
        <w:tc>
          <w:tcPr>
            <w:tcW w:w="1682"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76,340.66</w:t>
            </w:r>
          </w:p>
        </w:tc>
        <w:tc>
          <w:tcPr>
            <w:tcW w:w="1683" w:type="pct"/>
            <w:tcBorders>
              <w:top w:val="single" w:color="auto" w:sz="12"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1,416,007.24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PrEx>
        <w:trPr>
          <w:trHeight w:val="454" w:hRule="atLeast"/>
        </w:trPr>
        <w:tc>
          <w:tcPr>
            <w:tcW w:w="1635" w:type="pct"/>
            <w:tcBorders>
              <w:top w:val="single" w:color="auto" w:sz="4" w:space="0"/>
              <w:left w:val="nil"/>
              <w:bottom w:val="single" w:color="auto" w:sz="4" w:space="0"/>
              <w:right w:val="single" w:color="auto" w:sz="4" w:space="0"/>
            </w:tcBorders>
            <w:vAlign w:val="bottom"/>
          </w:tcPr>
          <w:p>
            <w:pPr>
              <w:rPr>
                <w:rFonts w:ascii="宋体" w:hAnsi="宋体"/>
                <w:color w:val="auto"/>
                <w:spacing w:val="4"/>
                <w:sz w:val="18"/>
                <w:szCs w:val="18"/>
              </w:rPr>
            </w:pPr>
            <w:r>
              <w:rPr>
                <w:rFonts w:hint="eastAsia" w:ascii="宋体" w:hAnsi="宋体"/>
                <w:color w:val="auto"/>
                <w:spacing w:val="4"/>
                <w:sz w:val="18"/>
                <w:szCs w:val="18"/>
              </w:rPr>
              <w:t>银行存款</w:t>
            </w:r>
          </w:p>
        </w:tc>
        <w:tc>
          <w:tcPr>
            <w:tcW w:w="168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153,705,459.85</w:t>
            </w:r>
          </w:p>
        </w:tc>
        <w:tc>
          <w:tcPr>
            <w:tcW w:w="1683" w:type="pct"/>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79,575,561.48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PrEx>
        <w:trPr>
          <w:trHeight w:val="454" w:hRule="atLeast"/>
        </w:trPr>
        <w:tc>
          <w:tcPr>
            <w:tcW w:w="1635" w:type="pct"/>
            <w:tcBorders>
              <w:top w:val="single" w:color="auto" w:sz="4" w:space="0"/>
              <w:left w:val="nil"/>
              <w:bottom w:val="single" w:color="auto" w:sz="12" w:space="0"/>
              <w:right w:val="single" w:color="auto" w:sz="4" w:space="0"/>
            </w:tcBorders>
            <w:vAlign w:val="bottom"/>
          </w:tcPr>
          <w:p>
            <w:pPr>
              <w:rPr>
                <w:rFonts w:ascii="宋体" w:hAnsi="宋体"/>
                <w:color w:val="auto"/>
                <w:sz w:val="18"/>
                <w:szCs w:val="18"/>
              </w:rPr>
            </w:pPr>
            <w:r>
              <w:rPr>
                <w:rFonts w:hint="eastAsia" w:ascii="宋体" w:hAnsi="宋体"/>
                <w:color w:val="auto"/>
                <w:spacing w:val="4"/>
                <w:sz w:val="18"/>
                <w:szCs w:val="18"/>
              </w:rPr>
              <w:t>其他货币资金</w:t>
            </w:r>
          </w:p>
        </w:tc>
        <w:tc>
          <w:tcPr>
            <w:tcW w:w="1682" w:type="pct"/>
            <w:tcBorders>
              <w:top w:val="single" w:color="auto" w:sz="4"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10,479,480.19</w:t>
            </w:r>
          </w:p>
        </w:tc>
        <w:tc>
          <w:tcPr>
            <w:tcW w:w="1683" w:type="pct"/>
            <w:tcBorders>
              <w:top w:val="single" w:color="auto" w:sz="4" w:space="0"/>
              <w:left w:val="single" w:color="auto" w:sz="4" w:space="0"/>
              <w:bottom w:val="single" w:color="auto" w:sz="12"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15,525,084.25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PrEx>
        <w:trPr>
          <w:trHeight w:val="454" w:hRule="atLeast"/>
        </w:trPr>
        <w:tc>
          <w:tcPr>
            <w:tcW w:w="1635" w:type="pct"/>
            <w:tcBorders>
              <w:top w:val="single" w:color="auto" w:sz="12" w:space="0"/>
              <w:left w:val="nil"/>
              <w:bottom w:val="single" w:color="000000" w:sz="12" w:space="0"/>
              <w:right w:val="single" w:color="auto" w:sz="4" w:space="0"/>
            </w:tcBorders>
            <w:vAlign w:val="bottom"/>
          </w:tcPr>
          <w:p>
            <w:pPr>
              <w:jc w:val="center"/>
              <w:rPr>
                <w:rFonts w:ascii="宋体" w:hAnsi="宋体"/>
                <w:b/>
                <w:color w:val="auto"/>
                <w:sz w:val="18"/>
                <w:szCs w:val="18"/>
              </w:rPr>
            </w:pPr>
            <w:r>
              <w:rPr>
                <w:rFonts w:hint="eastAsia" w:ascii="宋体" w:hAnsi="宋体"/>
                <w:b/>
                <w:color w:val="auto"/>
                <w:sz w:val="18"/>
                <w:szCs w:val="18"/>
              </w:rPr>
              <w:t>合计</w:t>
            </w:r>
          </w:p>
        </w:tc>
        <w:tc>
          <w:tcPr>
            <w:tcW w:w="1682" w:type="pct"/>
            <w:tcBorders>
              <w:top w:val="single" w:color="auto" w:sz="12" w:space="0"/>
              <w:left w:val="single" w:color="auto" w:sz="4" w:space="0"/>
              <w:bottom w:val="single" w:color="000000"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164,261,280.70</w:t>
            </w:r>
          </w:p>
        </w:tc>
        <w:tc>
          <w:tcPr>
            <w:tcW w:w="1683" w:type="pct"/>
            <w:tcBorders>
              <w:top w:val="single" w:color="auto" w:sz="12" w:space="0"/>
              <w:left w:val="single" w:color="auto" w:sz="4" w:space="0"/>
              <w:bottom w:val="single" w:color="000000" w:sz="12" w:space="0"/>
              <w:right w:val="nil"/>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96,516,652.97 </w:t>
            </w:r>
          </w:p>
        </w:tc>
      </w:tr>
    </w:tbl>
    <w:p>
      <w:pPr>
        <w:spacing w:before="150" w:beforeLines="50" w:after="150" w:afterLines="50" w:line="360" w:lineRule="auto"/>
        <w:ind w:firstLine="420" w:firstLineChars="200"/>
        <w:rPr>
          <w:rFonts w:ascii="宋体" w:hAnsi="宋体"/>
          <w:bCs/>
          <w:color w:val="auto"/>
        </w:rPr>
      </w:pPr>
      <w:r>
        <w:rPr>
          <w:rFonts w:hint="eastAsia" w:ascii="宋体" w:hAnsi="宋体"/>
          <w:bCs/>
          <w:color w:val="auto"/>
        </w:rPr>
        <w:t>（2）其他货币资金按明细项目列示：</w:t>
      </w:r>
    </w:p>
    <w:tbl>
      <w:tblPr>
        <w:tblStyle w:val="9"/>
        <w:tblW w:w="4915" w:type="pct"/>
        <w:tblCaption w:val="&quot;\\lisheng\共享\1、伟隆2022年度审计\1、2022年度审计\1、附注及报告\2022年\附注计算-伟隆 - 2022.xlsx&quot; &quot;2022附注格式!_ReportTable_0013&quot;"/>
        <w:tblDescription w:val="A10:C15"/>
        <w:tblInd w:w="107" w:type="dxa"/>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Layout w:type="autofit"/>
        <w:tblCellMar>
          <w:top w:w="0" w:type="dxa"/>
          <w:left w:w="107" w:type="dxa"/>
          <w:bottom w:w="0" w:type="dxa"/>
          <w:right w:w="107" w:type="dxa"/>
        </w:tblCellMar>
      </w:tblPr>
      <w:tblGrid>
        <w:gridCol w:w="3166"/>
        <w:gridCol w:w="3260"/>
        <w:gridCol w:w="3258"/>
      </w:tblGrid>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PrEx>
        <w:trPr>
          <w:trHeight w:val="454" w:hRule="atLeast"/>
        </w:trPr>
        <w:tc>
          <w:tcPr>
            <w:tcW w:w="1635" w:type="pct"/>
            <w:tcBorders>
              <w:top w:val="single" w:color="000000" w:sz="12"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项</w:t>
            </w:r>
            <w:r>
              <w:rPr>
                <w:rFonts w:ascii="宋体" w:hAnsi="宋体"/>
                <w:b/>
                <w:color w:val="auto"/>
                <w:sz w:val="18"/>
                <w:szCs w:val="18"/>
              </w:rPr>
              <w:t xml:space="preserve">   目</w:t>
            </w:r>
          </w:p>
        </w:tc>
        <w:tc>
          <w:tcPr>
            <w:tcW w:w="1683" w:type="pct"/>
            <w:tcBorders>
              <w:top w:val="single" w:color="000000" w:sz="12"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期末余额</w:t>
            </w:r>
          </w:p>
        </w:tc>
        <w:tc>
          <w:tcPr>
            <w:tcW w:w="1682" w:type="pct"/>
            <w:tcBorders>
              <w:left w:val="single" w:color="auto" w:sz="4" w:space="0"/>
              <w:bottom w:val="single" w:color="auto" w:sz="12" w:space="0"/>
            </w:tcBorders>
            <w:vAlign w:val="center"/>
          </w:tcPr>
          <w:p>
            <w:pPr>
              <w:jc w:val="center"/>
              <w:rPr>
                <w:rFonts w:ascii="宋体" w:hAnsi="宋体"/>
                <w:b/>
                <w:color w:val="auto"/>
                <w:sz w:val="18"/>
                <w:szCs w:val="18"/>
              </w:rPr>
            </w:pPr>
            <w:r>
              <w:rPr>
                <w:rFonts w:hint="eastAsia" w:ascii="宋体" w:hAnsi="宋体"/>
                <w:b/>
                <w:color w:val="auto"/>
                <w:sz w:val="18"/>
                <w:szCs w:val="18"/>
              </w:rPr>
              <w:t>期初余额</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1635" w:type="pct"/>
            <w:tcBorders>
              <w:top w:val="single" w:color="auto" w:sz="12" w:space="0"/>
              <w:bottom w:val="single" w:color="auto" w:sz="4" w:space="0"/>
              <w:right w:val="single" w:color="auto" w:sz="4" w:space="0"/>
            </w:tcBorders>
            <w:vAlign w:val="bottom"/>
          </w:tcPr>
          <w:p>
            <w:pPr>
              <w:rPr>
                <w:rFonts w:ascii="宋体" w:hAnsi="宋体"/>
                <w:color w:val="auto"/>
                <w:spacing w:val="4"/>
                <w:sz w:val="18"/>
                <w:szCs w:val="18"/>
              </w:rPr>
            </w:pPr>
            <w:r>
              <w:rPr>
                <w:rFonts w:hint="eastAsia" w:ascii="宋体" w:hAnsi="宋体"/>
                <w:color w:val="auto"/>
                <w:spacing w:val="4"/>
                <w:sz w:val="18"/>
                <w:szCs w:val="18"/>
              </w:rPr>
              <w:t>银行承兑汇票保证金</w:t>
            </w:r>
          </w:p>
        </w:tc>
        <w:tc>
          <w:tcPr>
            <w:tcW w:w="1683"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10,473,480.19</w:t>
            </w:r>
          </w:p>
        </w:tc>
        <w:tc>
          <w:tcPr>
            <w:tcW w:w="1682" w:type="pct"/>
            <w:tcBorders>
              <w:top w:val="single" w:color="auto" w:sz="12"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15,520,177.95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PrEx>
        <w:trPr>
          <w:trHeight w:val="454" w:hRule="atLeast"/>
        </w:trPr>
        <w:tc>
          <w:tcPr>
            <w:tcW w:w="1635" w:type="pct"/>
            <w:tcBorders>
              <w:top w:val="single" w:color="auto" w:sz="4" w:space="0"/>
              <w:bottom w:val="single" w:color="auto" w:sz="6" w:space="0"/>
              <w:right w:val="single" w:color="auto" w:sz="4" w:space="0"/>
            </w:tcBorders>
            <w:vAlign w:val="bottom"/>
          </w:tcPr>
          <w:p>
            <w:pPr>
              <w:rPr>
                <w:rFonts w:ascii="宋体" w:hAnsi="宋体"/>
                <w:color w:val="auto"/>
                <w:spacing w:val="4"/>
                <w:sz w:val="18"/>
                <w:szCs w:val="18"/>
              </w:rPr>
            </w:pPr>
            <w:r>
              <w:rPr>
                <w:rFonts w:hint="eastAsia" w:ascii="宋体" w:hAnsi="宋体"/>
                <w:color w:val="auto"/>
                <w:spacing w:val="4"/>
                <w:sz w:val="18"/>
                <w:szCs w:val="18"/>
              </w:rPr>
              <w:t>保函保证金</w:t>
            </w:r>
          </w:p>
        </w:tc>
        <w:tc>
          <w:tcPr>
            <w:tcW w:w="1683" w:type="pct"/>
            <w:tcBorders>
              <w:top w:val="single" w:color="auto" w:sz="4" w:space="0"/>
              <w:left w:val="single" w:color="auto" w:sz="4" w:space="0"/>
              <w:bottom w:val="single" w:color="auto" w:sz="6"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6,000.00</w:t>
            </w:r>
          </w:p>
        </w:tc>
        <w:tc>
          <w:tcPr>
            <w:tcW w:w="1682" w:type="pct"/>
            <w:tcBorders>
              <w:top w:val="single" w:color="auto" w:sz="4" w:space="0"/>
              <w:left w:val="single" w:color="auto" w:sz="4" w:space="0"/>
              <w:bottom w:val="single" w:color="auto" w:sz="6" w:space="0"/>
            </w:tcBorders>
            <w:vAlign w:val="bottom"/>
          </w:tcPr>
          <w:p>
            <w:pPr>
              <w:jc w:val="right"/>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4,906.30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PrEx>
        <w:trPr>
          <w:trHeight w:val="454" w:hRule="atLeast"/>
        </w:trPr>
        <w:tc>
          <w:tcPr>
            <w:tcW w:w="1635" w:type="pct"/>
            <w:tcBorders>
              <w:top w:val="single" w:color="auto" w:sz="12" w:space="0"/>
              <w:bottom w:val="single" w:color="000000" w:sz="12" w:space="0"/>
              <w:right w:val="single" w:color="auto" w:sz="4" w:space="0"/>
            </w:tcBorders>
            <w:vAlign w:val="bottom"/>
          </w:tcPr>
          <w:p>
            <w:pPr>
              <w:jc w:val="center"/>
              <w:rPr>
                <w:rFonts w:ascii="宋体" w:hAnsi="宋体"/>
                <w:b/>
                <w:color w:val="auto"/>
                <w:sz w:val="18"/>
                <w:szCs w:val="18"/>
              </w:rPr>
            </w:pPr>
            <w:r>
              <w:rPr>
                <w:rFonts w:hint="eastAsia" w:ascii="宋体" w:hAnsi="宋体"/>
                <w:b/>
                <w:color w:val="auto"/>
                <w:sz w:val="18"/>
                <w:szCs w:val="18"/>
              </w:rPr>
              <w:t>合计</w:t>
            </w:r>
          </w:p>
        </w:tc>
        <w:tc>
          <w:tcPr>
            <w:tcW w:w="1683" w:type="pct"/>
            <w:tcBorders>
              <w:top w:val="single" w:color="auto" w:sz="12" w:space="0"/>
              <w:left w:val="single" w:color="auto" w:sz="4" w:space="0"/>
              <w:bottom w:val="single" w:color="000000" w:sz="12" w:space="0"/>
              <w:right w:val="single" w:color="auto" w:sz="4" w:space="0"/>
            </w:tcBorders>
            <w:vAlign w:val="bottom"/>
          </w:tcPr>
          <w:p>
            <w:pPr>
              <w:autoSpaceDE w:val="0"/>
              <w:autoSpaceDN w:val="0"/>
              <w:adjustRightInd w:val="0"/>
              <w:jc w:val="right"/>
              <w:rPr>
                <w:rFonts w:cs="宋体" w:asciiTheme="minorEastAsia" w:hAnsiTheme="minorEastAsia" w:eastAsiaTheme="minorEastAsia"/>
                <w:b/>
                <w:bCs/>
                <w:color w:val="auto"/>
                <w:kern w:val="0"/>
                <w:sz w:val="18"/>
                <w:szCs w:val="18"/>
              </w:rPr>
            </w:pPr>
            <w:r>
              <w:rPr>
                <w:rFonts w:cs="宋体" w:asciiTheme="minorEastAsia" w:hAnsiTheme="minorEastAsia" w:eastAsiaTheme="minorEastAsia"/>
                <w:b/>
                <w:bCs/>
                <w:color w:val="auto"/>
                <w:kern w:val="0"/>
                <w:sz w:val="18"/>
                <w:szCs w:val="18"/>
              </w:rPr>
              <w:t>10,479,480.19</w:t>
            </w:r>
          </w:p>
        </w:tc>
        <w:tc>
          <w:tcPr>
            <w:tcW w:w="1682" w:type="pct"/>
            <w:tcBorders>
              <w:top w:val="single" w:color="auto" w:sz="12" w:space="0"/>
              <w:left w:val="single" w:color="auto" w:sz="4" w:space="0"/>
              <w:bottom w:val="single" w:color="000000" w:sz="12"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kern w:val="0"/>
                <w:sz w:val="18"/>
                <w:szCs w:val="18"/>
              </w:rPr>
              <w:t xml:space="preserve">15,525,084.25  </w:t>
            </w:r>
          </w:p>
        </w:tc>
      </w:tr>
    </w:tbl>
    <w:p>
      <w:pPr>
        <w:spacing w:before="150" w:beforeLines="50" w:after="150" w:afterLines="50" w:line="360" w:lineRule="auto"/>
        <w:ind w:firstLine="420" w:firstLineChars="200"/>
        <w:rPr>
          <w:rFonts w:ascii="宋体" w:hAnsi="宋体"/>
          <w:bCs/>
          <w:color w:val="auto"/>
        </w:rPr>
      </w:pPr>
      <w:r>
        <w:rPr>
          <w:rFonts w:hint="eastAsia" w:ascii="宋体" w:hAnsi="宋体"/>
          <w:bCs/>
          <w:color w:val="auto"/>
        </w:rPr>
        <w:t>（3）</w:t>
      </w:r>
      <w:r>
        <w:rPr>
          <w:rFonts w:hint="eastAsia"/>
          <w:color w:val="auto"/>
        </w:rPr>
        <w:t>因抵押、质押或冻结等对使用有限制的货币资金明细如下</w:t>
      </w:r>
      <w:r>
        <w:rPr>
          <w:rFonts w:hint="eastAsia" w:ascii="宋体" w:hAnsi="宋体"/>
          <w:bCs/>
          <w:color w:val="auto"/>
        </w:rPr>
        <w:t>：</w:t>
      </w:r>
    </w:p>
    <w:tbl>
      <w:tblPr>
        <w:tblStyle w:val="9"/>
        <w:tblW w:w="4915" w:type="pct"/>
        <w:tblCaption w:val="&quot;\\lisheng\共享\1、伟隆2022年度审计\1、2022年度审计\1、附注及报告\2022年\附注计算-伟隆 - 2022.xlsx&quot; &quot;2022附注格式!_ReportTable_0014&quot;"/>
        <w:tblDescription w:val="A17:C22"/>
        <w:tblInd w:w="107" w:type="dxa"/>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Layout w:type="autofit"/>
        <w:tblCellMar>
          <w:top w:w="0" w:type="dxa"/>
          <w:left w:w="107" w:type="dxa"/>
          <w:bottom w:w="0" w:type="dxa"/>
          <w:right w:w="107" w:type="dxa"/>
        </w:tblCellMar>
      </w:tblPr>
      <w:tblGrid>
        <w:gridCol w:w="3166"/>
        <w:gridCol w:w="3258"/>
        <w:gridCol w:w="3260"/>
      </w:tblGrid>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PrEx>
        <w:trPr>
          <w:trHeight w:val="454" w:hRule="atLeast"/>
        </w:trPr>
        <w:tc>
          <w:tcPr>
            <w:tcW w:w="1635" w:type="pct"/>
            <w:tcBorders>
              <w:top w:val="single" w:color="000000" w:sz="12" w:space="0"/>
              <w:bottom w:val="single" w:color="auto" w:sz="12" w:space="0"/>
              <w:right w:val="single" w:color="auto" w:sz="4" w:space="0"/>
            </w:tcBorders>
            <w:vAlign w:val="center"/>
          </w:tcPr>
          <w:p>
            <w:pPr>
              <w:ind w:firstLine="961" w:firstLineChars="534"/>
              <w:rPr>
                <w:rFonts w:ascii="宋体" w:hAnsi="宋体"/>
                <w:b/>
                <w:color w:val="auto"/>
                <w:sz w:val="18"/>
                <w:szCs w:val="18"/>
              </w:rPr>
            </w:pPr>
            <w:r>
              <w:rPr>
                <w:rFonts w:hint="eastAsia" w:ascii="宋体" w:hAnsi="宋体"/>
                <w:b/>
                <w:color w:val="auto"/>
                <w:sz w:val="18"/>
                <w:szCs w:val="18"/>
              </w:rPr>
              <w:t>项</w:t>
            </w:r>
            <w:r>
              <w:rPr>
                <w:rFonts w:ascii="宋体" w:hAnsi="宋体"/>
                <w:b/>
                <w:color w:val="auto"/>
                <w:sz w:val="18"/>
                <w:szCs w:val="18"/>
              </w:rPr>
              <w:t xml:space="preserve">   目</w:t>
            </w:r>
          </w:p>
        </w:tc>
        <w:tc>
          <w:tcPr>
            <w:tcW w:w="1682" w:type="pct"/>
            <w:tcBorders>
              <w:top w:val="single" w:color="000000" w:sz="12"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期末余额</w:t>
            </w:r>
          </w:p>
        </w:tc>
        <w:tc>
          <w:tcPr>
            <w:tcW w:w="1683" w:type="pct"/>
            <w:tcBorders>
              <w:left w:val="single" w:color="auto" w:sz="4" w:space="0"/>
              <w:bottom w:val="single" w:color="auto" w:sz="12" w:space="0"/>
            </w:tcBorders>
            <w:vAlign w:val="center"/>
          </w:tcPr>
          <w:p>
            <w:pPr>
              <w:jc w:val="center"/>
              <w:rPr>
                <w:rFonts w:ascii="宋体" w:hAnsi="宋体"/>
                <w:b/>
                <w:color w:val="auto"/>
                <w:sz w:val="18"/>
                <w:szCs w:val="18"/>
              </w:rPr>
            </w:pPr>
            <w:r>
              <w:rPr>
                <w:rFonts w:hint="eastAsia" w:ascii="宋体" w:hAnsi="宋体"/>
                <w:b/>
                <w:color w:val="auto"/>
                <w:sz w:val="18"/>
                <w:szCs w:val="18"/>
              </w:rPr>
              <w:t>期初余额</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1635" w:type="pct"/>
            <w:tcBorders>
              <w:top w:val="single" w:color="auto" w:sz="12" w:space="0"/>
              <w:bottom w:val="single" w:color="auto" w:sz="4" w:space="0"/>
              <w:right w:val="single" w:color="auto" w:sz="4" w:space="0"/>
            </w:tcBorders>
            <w:vAlign w:val="bottom"/>
          </w:tcPr>
          <w:p>
            <w:pPr>
              <w:rPr>
                <w:rFonts w:ascii="宋体" w:hAnsi="宋体"/>
                <w:color w:val="auto"/>
                <w:spacing w:val="4"/>
                <w:sz w:val="18"/>
                <w:szCs w:val="18"/>
              </w:rPr>
            </w:pPr>
            <w:r>
              <w:rPr>
                <w:rFonts w:hint="eastAsia" w:ascii="宋体" w:hAnsi="宋体"/>
                <w:color w:val="auto"/>
                <w:spacing w:val="4"/>
                <w:sz w:val="18"/>
                <w:szCs w:val="18"/>
              </w:rPr>
              <w:t>银行承兑汇票保证金</w:t>
            </w:r>
          </w:p>
        </w:tc>
        <w:tc>
          <w:tcPr>
            <w:tcW w:w="1682"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10,473,480.19</w:t>
            </w:r>
          </w:p>
        </w:tc>
        <w:tc>
          <w:tcPr>
            <w:tcW w:w="1683" w:type="pct"/>
            <w:tcBorders>
              <w:top w:val="single" w:color="auto" w:sz="12" w:space="0"/>
              <w:left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xml:space="preserve">15,520,177.95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PrEx>
        <w:trPr>
          <w:trHeight w:val="454" w:hRule="atLeast"/>
        </w:trPr>
        <w:tc>
          <w:tcPr>
            <w:tcW w:w="1635" w:type="pct"/>
            <w:tcBorders>
              <w:top w:val="single" w:color="auto" w:sz="4" w:space="0"/>
              <w:bottom w:val="single" w:color="auto" w:sz="4" w:space="0"/>
              <w:right w:val="single" w:color="auto" w:sz="4" w:space="0"/>
            </w:tcBorders>
            <w:vAlign w:val="bottom"/>
          </w:tcPr>
          <w:p>
            <w:pPr>
              <w:rPr>
                <w:rFonts w:ascii="宋体" w:hAnsi="宋体"/>
                <w:color w:val="auto"/>
                <w:spacing w:val="4"/>
                <w:sz w:val="18"/>
                <w:szCs w:val="18"/>
              </w:rPr>
            </w:pPr>
            <w:r>
              <w:rPr>
                <w:rFonts w:hint="eastAsia" w:ascii="宋体" w:hAnsi="宋体"/>
                <w:color w:val="auto"/>
                <w:spacing w:val="4"/>
                <w:sz w:val="18"/>
                <w:szCs w:val="18"/>
              </w:rPr>
              <w:t>保函保证金</w:t>
            </w:r>
          </w:p>
        </w:tc>
        <w:tc>
          <w:tcPr>
            <w:tcW w:w="168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6,000.00</w:t>
            </w:r>
          </w:p>
        </w:tc>
        <w:tc>
          <w:tcPr>
            <w:tcW w:w="1683" w:type="pct"/>
            <w:tcBorders>
              <w:top w:val="single" w:color="auto" w:sz="4" w:space="0"/>
              <w:left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xml:space="preserve">4,906.30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PrEx>
        <w:trPr>
          <w:trHeight w:val="454" w:hRule="atLeast"/>
        </w:trPr>
        <w:tc>
          <w:tcPr>
            <w:tcW w:w="1635" w:type="pct"/>
            <w:tcBorders>
              <w:top w:val="single" w:color="auto" w:sz="12" w:space="0"/>
              <w:bottom w:val="single" w:color="000000" w:sz="12" w:space="0"/>
              <w:right w:val="single" w:color="auto" w:sz="4" w:space="0"/>
            </w:tcBorders>
            <w:vAlign w:val="bottom"/>
          </w:tcPr>
          <w:p>
            <w:pPr>
              <w:jc w:val="center"/>
              <w:rPr>
                <w:rFonts w:ascii="宋体" w:hAnsi="宋体"/>
                <w:b/>
                <w:color w:val="auto"/>
                <w:sz w:val="18"/>
                <w:szCs w:val="18"/>
              </w:rPr>
            </w:pPr>
            <w:r>
              <w:rPr>
                <w:rFonts w:hint="eastAsia" w:ascii="宋体" w:hAnsi="宋体"/>
                <w:b/>
                <w:color w:val="auto"/>
                <w:sz w:val="18"/>
                <w:szCs w:val="18"/>
              </w:rPr>
              <w:t>合计</w:t>
            </w:r>
          </w:p>
        </w:tc>
        <w:tc>
          <w:tcPr>
            <w:tcW w:w="1682" w:type="pct"/>
            <w:tcBorders>
              <w:top w:val="single" w:color="auto" w:sz="12" w:space="0"/>
              <w:left w:val="single" w:color="auto" w:sz="4" w:space="0"/>
              <w:bottom w:val="single" w:color="000000" w:sz="12"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10,479,480.19</w:t>
            </w:r>
          </w:p>
        </w:tc>
        <w:tc>
          <w:tcPr>
            <w:tcW w:w="1683" w:type="pct"/>
            <w:tcBorders>
              <w:top w:val="single" w:color="auto" w:sz="12" w:space="0"/>
              <w:left w:val="single" w:color="auto" w:sz="4" w:space="0"/>
              <w:bottom w:val="single" w:color="000000" w:sz="12" w:space="0"/>
            </w:tcBorders>
            <w:vAlign w:val="bottom"/>
          </w:tcPr>
          <w:p>
            <w:pPr>
              <w:jc w:val="right"/>
              <w:rPr>
                <w:rFonts w:cs="宋体" w:asciiTheme="majorEastAsia" w:hAnsiTheme="majorEastAsia" w:eastAsiaTheme="majorEastAsia"/>
                <w:b/>
                <w:bCs/>
                <w:color w:val="auto"/>
                <w:sz w:val="18"/>
                <w:szCs w:val="18"/>
              </w:rPr>
            </w:pPr>
            <w:r>
              <w:rPr>
                <w:rFonts w:cs="宋体" w:asciiTheme="minorEastAsia" w:hAnsiTheme="minorEastAsia" w:eastAsiaTheme="minorEastAsia"/>
                <w:b/>
                <w:bCs/>
                <w:color w:val="auto"/>
                <w:kern w:val="0"/>
                <w:sz w:val="18"/>
                <w:szCs w:val="18"/>
              </w:rPr>
              <w:t xml:space="preserve">15,525,084.25 </w:t>
            </w:r>
            <w:r>
              <w:rPr>
                <w:rFonts w:ascii="宋体" w:hAnsi="宋体" w:cs="宋体"/>
                <w:b/>
                <w:bCs/>
                <w:color w:val="auto"/>
                <w:kern w:val="0"/>
                <w:sz w:val="18"/>
                <w:szCs w:val="18"/>
              </w:rPr>
              <w:t xml:space="preserve"> </w:t>
            </w:r>
          </w:p>
        </w:tc>
      </w:tr>
    </w:tbl>
    <w:p>
      <w:pPr>
        <w:spacing w:line="360" w:lineRule="auto"/>
        <w:ind w:firstLine="420" w:firstLineChars="200"/>
        <w:rPr>
          <w:rFonts w:ascii="宋体" w:hAnsi="宋体"/>
          <w:bCs/>
          <w:color w:val="auto"/>
        </w:rPr>
      </w:pPr>
      <w:r>
        <w:rPr>
          <w:rFonts w:hint="eastAsia" w:ascii="宋体" w:hAnsi="宋体"/>
          <w:bCs/>
          <w:color w:val="auto"/>
        </w:rPr>
        <w:t>除上述款项,报告期内无其他因抵押、质押或冻结等对使用有限制、存放在境外、有潜在回收风险的款项。</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2、交易性金融资产</w:t>
      </w:r>
    </w:p>
    <w:tbl>
      <w:tblPr>
        <w:tblStyle w:val="9"/>
        <w:tblW w:w="5000" w:type="pct"/>
        <w:tblCaption w:val="&quot;\\lisheng\共享\1、伟隆2022年度审计\1、2022年度审计\1、附注及报告\2022年\附注计算-伟隆 - 2022.xlsx&quot; &quot;2022附注格式!_ReportTable_0015&quot;"/>
        <w:tblDescription w:val="A26:C31"/>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3231"/>
        <w:gridCol w:w="3232"/>
        <w:gridCol w:w="323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454" w:hRule="atLeast"/>
        </w:trPr>
        <w:tc>
          <w:tcPr>
            <w:tcW w:w="1666" w:type="pct"/>
            <w:tcBorders>
              <w:top w:val="single" w:color="auto" w:sz="12" w:space="0"/>
              <w:bottom w:val="single" w:color="auto" w:sz="12" w:space="0"/>
              <w:right w:val="single" w:color="auto" w:sz="4" w:space="0"/>
            </w:tcBorders>
            <w:shd w:val="clear" w:color="auto" w:fill="auto"/>
            <w:vAlign w:val="center"/>
          </w:tcPr>
          <w:p>
            <w:pPr>
              <w:jc w:val="center"/>
              <w:rPr>
                <w:rFonts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项</w:t>
            </w:r>
            <w:r>
              <w:rPr>
                <w:rFonts w:asciiTheme="minorEastAsia" w:hAnsiTheme="minorEastAsia" w:eastAsiaTheme="minorEastAsia"/>
                <w:b/>
                <w:color w:val="auto"/>
                <w:sz w:val="18"/>
                <w:szCs w:val="18"/>
              </w:rPr>
              <w:t xml:space="preserve">  目</w:t>
            </w:r>
          </w:p>
        </w:tc>
        <w:tc>
          <w:tcPr>
            <w:tcW w:w="1666" w:type="pct"/>
            <w:tcBorders>
              <w:top w:val="single" w:color="auto" w:sz="12" w:space="0"/>
              <w:left w:val="single" w:color="auto" w:sz="4" w:space="0"/>
              <w:bottom w:val="single" w:color="auto" w:sz="12" w:space="0"/>
              <w:right w:val="single" w:color="auto" w:sz="4" w:space="0"/>
            </w:tcBorders>
            <w:shd w:val="clear" w:color="auto" w:fill="auto"/>
            <w:vAlign w:val="center"/>
          </w:tcPr>
          <w:p>
            <w:pPr>
              <w:jc w:val="center"/>
              <w:rPr>
                <w:rFonts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期末余额</w:t>
            </w:r>
          </w:p>
        </w:tc>
        <w:tc>
          <w:tcPr>
            <w:tcW w:w="1667" w:type="pct"/>
            <w:tcBorders>
              <w:top w:val="single" w:color="auto" w:sz="12" w:space="0"/>
              <w:left w:val="single" w:color="auto" w:sz="4" w:space="0"/>
              <w:bottom w:val="single" w:color="auto" w:sz="12" w:space="0"/>
            </w:tcBorders>
            <w:shd w:val="clear" w:color="auto" w:fill="auto"/>
            <w:vAlign w:val="center"/>
          </w:tcPr>
          <w:p>
            <w:pPr>
              <w:jc w:val="center"/>
              <w:rPr>
                <w:rFonts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期初余额</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454" w:hRule="atLeast"/>
        </w:trPr>
        <w:tc>
          <w:tcPr>
            <w:tcW w:w="1666" w:type="pct"/>
            <w:tcBorders>
              <w:top w:val="single" w:color="auto" w:sz="4" w:space="0"/>
              <w:bottom w:val="single" w:color="auto" w:sz="6" w:space="0"/>
              <w:right w:val="single" w:color="auto" w:sz="4" w:space="0"/>
            </w:tcBorders>
            <w:shd w:val="clear" w:color="auto" w:fill="auto"/>
            <w:vAlign w:val="bottom"/>
          </w:tcPr>
          <w:p>
            <w:pPr>
              <w:rPr>
                <w:rFonts w:asciiTheme="minorEastAsia" w:hAnsiTheme="minorEastAsia" w:eastAsiaTheme="minorEastAsia"/>
                <w:color w:val="auto"/>
                <w:sz w:val="18"/>
                <w:szCs w:val="18"/>
              </w:rPr>
            </w:pPr>
            <w:r>
              <w:rPr>
                <w:rFonts w:hint="eastAsia"/>
                <w:color w:val="auto"/>
                <w:sz w:val="18"/>
                <w:szCs w:val="18"/>
              </w:rPr>
              <w:t>以公允价值计量且其变动计入当期损益的金融资产</w:t>
            </w:r>
          </w:p>
        </w:tc>
        <w:tc>
          <w:tcPr>
            <w:tcW w:w="1666" w:type="pct"/>
            <w:tcBorders>
              <w:top w:val="single" w:color="auto" w:sz="4" w:space="0"/>
              <w:left w:val="single" w:color="auto" w:sz="4" w:space="0"/>
              <w:bottom w:val="single" w:color="auto" w:sz="6"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254,123,980.37</w:t>
            </w:r>
          </w:p>
        </w:tc>
        <w:tc>
          <w:tcPr>
            <w:tcW w:w="1667" w:type="pct"/>
            <w:tcBorders>
              <w:top w:val="single" w:color="auto" w:sz="4" w:space="0"/>
              <w:left w:val="single" w:color="auto" w:sz="4" w:space="0"/>
              <w:bottom w:val="single" w:color="auto" w:sz="6" w:space="0"/>
            </w:tcBorders>
            <w:shd w:val="clear" w:color="auto" w:fill="auto"/>
            <w:vAlign w:val="bottom"/>
          </w:tcPr>
          <w:p>
            <w:pPr>
              <w:jc w:val="right"/>
              <w:rPr>
                <w:rFonts w:asciiTheme="majorEastAsia" w:hAnsiTheme="majorEastAsia" w:eastAsiaTheme="majorEastAsia" w:cstheme="minorHAnsi"/>
                <w:color w:val="auto"/>
                <w:sz w:val="18"/>
                <w:szCs w:val="18"/>
              </w:rPr>
            </w:pPr>
            <w:r>
              <w:rPr>
                <w:rFonts w:ascii="宋体" w:hAnsi="宋体" w:cs="宋体"/>
                <w:color w:val="auto"/>
                <w:kern w:val="0"/>
                <w:sz w:val="18"/>
                <w:szCs w:val="18"/>
              </w:rPr>
              <w:t xml:space="preserve">188,606,030.67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454" w:hRule="atLeast"/>
        </w:trPr>
        <w:tc>
          <w:tcPr>
            <w:tcW w:w="1666" w:type="pct"/>
            <w:tcBorders>
              <w:top w:val="single" w:color="auto" w:sz="6" w:space="0"/>
              <w:bottom w:val="single" w:color="auto" w:sz="4" w:space="0"/>
              <w:right w:val="single" w:color="auto" w:sz="4" w:space="0"/>
            </w:tcBorders>
            <w:shd w:val="clear" w:color="auto" w:fill="auto"/>
            <w:vAlign w:val="bottom"/>
          </w:tcPr>
          <w:p>
            <w:pPr>
              <w:rPr>
                <w:color w:val="auto"/>
                <w:sz w:val="18"/>
                <w:szCs w:val="18"/>
              </w:rPr>
            </w:pPr>
            <w:r>
              <w:rPr>
                <w:rFonts w:hint="eastAsia"/>
                <w:color w:val="auto"/>
                <w:sz w:val="18"/>
                <w:szCs w:val="18"/>
              </w:rPr>
              <w:t>其中：交易性权益工具投资</w:t>
            </w:r>
          </w:p>
        </w:tc>
        <w:tc>
          <w:tcPr>
            <w:tcW w:w="1666" w:type="pct"/>
            <w:tcBorders>
              <w:top w:val="single" w:color="auto" w:sz="6"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667" w:type="pct"/>
            <w:tcBorders>
              <w:top w:val="single" w:color="auto" w:sz="6" w:space="0"/>
              <w:left w:val="single" w:color="auto" w:sz="4" w:space="0"/>
              <w:bottom w:val="single" w:color="auto" w:sz="4" w:space="0"/>
            </w:tcBorders>
            <w:shd w:val="clear" w:color="auto" w:fill="auto"/>
            <w:vAlign w:val="bottom"/>
          </w:tcPr>
          <w:p>
            <w:pPr>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454" w:hRule="atLeast"/>
        </w:trPr>
        <w:tc>
          <w:tcPr>
            <w:tcW w:w="1666" w:type="pct"/>
            <w:tcBorders>
              <w:top w:val="single" w:color="auto" w:sz="4" w:space="0"/>
              <w:right w:val="single" w:color="auto" w:sz="4" w:space="0"/>
            </w:tcBorders>
            <w:shd w:val="clear" w:color="auto" w:fill="auto"/>
            <w:vAlign w:val="bottom"/>
          </w:tcPr>
          <w:p>
            <w:pPr>
              <w:ind w:firstLine="540" w:firstLineChars="300"/>
              <w:jc w:val="left"/>
              <w:rPr>
                <w:bCs/>
                <w:color w:val="auto"/>
                <w:sz w:val="18"/>
                <w:szCs w:val="18"/>
              </w:rPr>
            </w:pPr>
            <w:r>
              <w:rPr>
                <w:rFonts w:hint="eastAsia"/>
                <w:bCs/>
                <w:color w:val="auto"/>
                <w:sz w:val="18"/>
                <w:szCs w:val="18"/>
              </w:rPr>
              <w:t>交易性债务工具投资</w:t>
            </w:r>
          </w:p>
        </w:tc>
        <w:tc>
          <w:tcPr>
            <w:tcW w:w="1666" w:type="pct"/>
            <w:tcBorders>
              <w:top w:val="single" w:color="auto" w:sz="4" w:space="0"/>
              <w:left w:val="single" w:color="auto" w:sz="4" w:space="0"/>
              <w:right w:val="single" w:color="auto" w:sz="4" w:space="0"/>
            </w:tcBorders>
            <w:shd w:val="clear" w:color="auto" w:fill="auto"/>
            <w:vAlign w:val="bottom"/>
          </w:tcPr>
          <w:p>
            <w:pPr>
              <w:autoSpaceDE w:val="0"/>
              <w:autoSpaceDN w:val="0"/>
              <w:adjustRightInd w:val="0"/>
              <w:jc w:val="right"/>
              <w:rPr>
                <w:rFonts w:cs="宋体" w:asciiTheme="minorEastAsia" w:hAnsiTheme="minorEastAsia" w:eastAsiaTheme="minorEastAsia"/>
                <w:b/>
                <w:bCs/>
                <w:color w:val="auto"/>
                <w:kern w:val="0"/>
                <w:sz w:val="18"/>
                <w:szCs w:val="18"/>
              </w:rPr>
            </w:pPr>
            <w:r>
              <w:rPr>
                <w:rFonts w:hint="eastAsia" w:asciiTheme="minorEastAsia" w:hAnsiTheme="minorEastAsia" w:eastAsiaTheme="minorEastAsia"/>
                <w:color w:val="auto"/>
                <w:sz w:val="18"/>
                <w:szCs w:val="22"/>
              </w:rPr>
              <w:t xml:space="preserve">  254,123,980.37 </w:t>
            </w:r>
          </w:p>
        </w:tc>
        <w:tc>
          <w:tcPr>
            <w:tcW w:w="1667" w:type="pct"/>
            <w:tcBorders>
              <w:top w:val="single" w:color="auto" w:sz="4" w:space="0"/>
              <w:left w:val="single" w:color="auto" w:sz="4" w:space="0"/>
            </w:tcBorders>
            <w:shd w:val="clear" w:color="auto" w:fill="auto"/>
            <w:vAlign w:val="bottom"/>
          </w:tcPr>
          <w:p>
            <w:pPr>
              <w:jc w:val="right"/>
              <w:rPr>
                <w:rFonts w:ascii="宋体" w:hAnsi="宋体" w:cs="宋体"/>
                <w:b/>
                <w:bCs/>
                <w:color w:val="auto"/>
                <w:kern w:val="0"/>
                <w:sz w:val="18"/>
                <w:szCs w:val="18"/>
              </w:rPr>
            </w:pPr>
            <w:r>
              <w:rPr>
                <w:rFonts w:ascii="宋体" w:hAnsi="宋体" w:cs="宋体"/>
                <w:color w:val="auto"/>
                <w:kern w:val="0"/>
                <w:sz w:val="18"/>
                <w:szCs w:val="18"/>
              </w:rPr>
              <w:t>188,606,030.67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454" w:hRule="atLeast"/>
        </w:trPr>
        <w:tc>
          <w:tcPr>
            <w:tcW w:w="1666" w:type="pct"/>
            <w:tcBorders>
              <w:top w:val="single" w:color="auto" w:sz="4" w:space="0"/>
              <w:right w:val="single" w:color="auto" w:sz="4" w:space="0"/>
            </w:tcBorders>
            <w:shd w:val="clear" w:color="auto" w:fill="auto"/>
            <w:vAlign w:val="bottom"/>
          </w:tcPr>
          <w:p>
            <w:pPr>
              <w:ind w:firstLine="720" w:firstLineChars="400"/>
              <w:jc w:val="left"/>
              <w:rPr>
                <w:rFonts w:asciiTheme="minorEastAsia" w:hAnsiTheme="minorEastAsia" w:eastAsiaTheme="minorEastAsia"/>
                <w:bCs/>
                <w:color w:val="auto"/>
                <w:sz w:val="18"/>
                <w:szCs w:val="18"/>
              </w:rPr>
            </w:pPr>
            <w:r>
              <w:rPr>
                <w:rFonts w:hint="eastAsia" w:asciiTheme="minorEastAsia" w:hAnsiTheme="minorEastAsia" w:eastAsiaTheme="minorEastAsia"/>
                <w:color w:val="auto"/>
                <w:sz w:val="18"/>
                <w:szCs w:val="22"/>
              </w:rPr>
              <w:t>：理财产品</w:t>
            </w:r>
          </w:p>
        </w:tc>
        <w:tc>
          <w:tcPr>
            <w:tcW w:w="1666" w:type="pct"/>
            <w:tcBorders>
              <w:top w:val="single" w:color="auto" w:sz="4" w:space="0"/>
              <w:left w:val="single" w:color="auto" w:sz="4" w:space="0"/>
              <w:right w:val="single" w:color="auto" w:sz="4" w:space="0"/>
            </w:tcBorders>
            <w:shd w:val="clear" w:color="auto" w:fill="auto"/>
            <w:vAlign w:val="bottom"/>
          </w:tcPr>
          <w:p>
            <w:pPr>
              <w:autoSpaceDE w:val="0"/>
              <w:autoSpaceDN w:val="0"/>
              <w:adjustRightInd w:val="0"/>
              <w:jc w:val="right"/>
              <w:rPr>
                <w:rFonts w:cs="宋体" w:asciiTheme="minorEastAsia" w:hAnsiTheme="minorEastAsia" w:eastAsiaTheme="minorEastAsia"/>
                <w:b/>
                <w:bCs/>
                <w:color w:val="auto"/>
                <w:kern w:val="0"/>
                <w:sz w:val="18"/>
                <w:szCs w:val="18"/>
              </w:rPr>
            </w:pPr>
            <w:r>
              <w:rPr>
                <w:rFonts w:hint="eastAsia" w:asciiTheme="minorEastAsia" w:hAnsiTheme="minorEastAsia" w:eastAsiaTheme="minorEastAsia"/>
                <w:color w:val="auto"/>
                <w:sz w:val="18"/>
                <w:szCs w:val="22"/>
              </w:rPr>
              <w:t xml:space="preserve">  110,815,234.45 </w:t>
            </w:r>
          </w:p>
        </w:tc>
        <w:tc>
          <w:tcPr>
            <w:tcW w:w="1667" w:type="pct"/>
            <w:tcBorders>
              <w:top w:val="single" w:color="auto" w:sz="4" w:space="0"/>
              <w:left w:val="single" w:color="auto" w:sz="4" w:space="0"/>
            </w:tcBorders>
            <w:shd w:val="clear" w:color="auto" w:fill="auto"/>
            <w:vAlign w:val="bottom"/>
          </w:tcPr>
          <w:p>
            <w:pPr>
              <w:jc w:val="right"/>
              <w:rPr>
                <w:rFonts w:ascii="宋体" w:hAnsi="宋体" w:cs="宋体"/>
                <w:bCs/>
                <w:color w:val="auto"/>
                <w:kern w:val="0"/>
                <w:sz w:val="18"/>
                <w:szCs w:val="18"/>
              </w:rPr>
            </w:pPr>
            <w:r>
              <w:rPr>
                <w:rFonts w:ascii="宋体" w:hAnsi="宋体" w:cs="宋体"/>
                <w:bCs/>
                <w:color w:val="auto"/>
                <w:kern w:val="0"/>
                <w:sz w:val="18"/>
                <w:szCs w:val="18"/>
              </w:rPr>
              <w:t>147,735,416.32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454" w:hRule="atLeast"/>
        </w:trPr>
        <w:tc>
          <w:tcPr>
            <w:tcW w:w="1666" w:type="pct"/>
            <w:tcBorders>
              <w:top w:val="single" w:color="auto" w:sz="4" w:space="0"/>
              <w:right w:val="single" w:color="auto" w:sz="4" w:space="0"/>
            </w:tcBorders>
            <w:shd w:val="clear" w:color="auto" w:fill="auto"/>
            <w:vAlign w:val="bottom"/>
          </w:tcPr>
          <w:p>
            <w:pPr>
              <w:ind w:firstLine="720" w:firstLineChars="400"/>
              <w:jc w:val="left"/>
              <w:rPr>
                <w:rFonts w:asciiTheme="minorEastAsia" w:hAnsiTheme="minorEastAsia" w:eastAsiaTheme="minorEastAsia"/>
                <w:bCs/>
                <w:color w:val="auto"/>
                <w:sz w:val="18"/>
                <w:szCs w:val="18"/>
              </w:rPr>
            </w:pPr>
            <w:r>
              <w:rPr>
                <w:rFonts w:hint="eastAsia" w:asciiTheme="minorEastAsia" w:hAnsiTheme="minorEastAsia" w:eastAsiaTheme="minorEastAsia"/>
                <w:color w:val="auto"/>
                <w:sz w:val="18"/>
                <w:szCs w:val="22"/>
              </w:rPr>
              <w:t>：资产管理计划</w:t>
            </w:r>
          </w:p>
        </w:tc>
        <w:tc>
          <w:tcPr>
            <w:tcW w:w="1666" w:type="pct"/>
            <w:tcBorders>
              <w:top w:val="single" w:color="auto" w:sz="4" w:space="0"/>
              <w:left w:val="single" w:color="auto" w:sz="4" w:space="0"/>
              <w:right w:val="single" w:color="auto" w:sz="4" w:space="0"/>
            </w:tcBorders>
            <w:shd w:val="clear" w:color="auto" w:fill="auto"/>
            <w:vAlign w:val="bottom"/>
          </w:tcPr>
          <w:p>
            <w:pPr>
              <w:autoSpaceDE w:val="0"/>
              <w:autoSpaceDN w:val="0"/>
              <w:adjustRightInd w:val="0"/>
              <w:jc w:val="right"/>
              <w:rPr>
                <w:rFonts w:cs="宋体" w:asciiTheme="minorEastAsia" w:hAnsiTheme="minorEastAsia" w:eastAsiaTheme="minorEastAsia"/>
                <w:b/>
                <w:bCs/>
                <w:color w:val="auto"/>
                <w:kern w:val="0"/>
                <w:sz w:val="18"/>
                <w:szCs w:val="18"/>
              </w:rPr>
            </w:pPr>
            <w:r>
              <w:rPr>
                <w:rFonts w:hint="eastAsia" w:asciiTheme="minorEastAsia" w:hAnsiTheme="minorEastAsia" w:eastAsiaTheme="minorEastAsia"/>
                <w:color w:val="auto"/>
                <w:sz w:val="18"/>
                <w:szCs w:val="22"/>
              </w:rPr>
              <w:t xml:space="preserve">   39,616,452.57 </w:t>
            </w:r>
          </w:p>
        </w:tc>
        <w:tc>
          <w:tcPr>
            <w:tcW w:w="1667" w:type="pct"/>
            <w:tcBorders>
              <w:top w:val="single" w:color="auto" w:sz="4" w:space="0"/>
              <w:left w:val="single" w:color="auto" w:sz="4" w:space="0"/>
            </w:tcBorders>
            <w:shd w:val="clear" w:color="auto" w:fill="auto"/>
            <w:vAlign w:val="bottom"/>
          </w:tcPr>
          <w:p>
            <w:pPr>
              <w:jc w:val="right"/>
              <w:rPr>
                <w:rFonts w:ascii="宋体" w:hAnsi="宋体" w:cs="宋体"/>
                <w:bCs/>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454" w:hRule="atLeast"/>
        </w:trPr>
        <w:tc>
          <w:tcPr>
            <w:tcW w:w="1666" w:type="pct"/>
            <w:tcBorders>
              <w:top w:val="single" w:color="auto" w:sz="4" w:space="0"/>
              <w:right w:val="single" w:color="auto" w:sz="4" w:space="0"/>
            </w:tcBorders>
            <w:shd w:val="clear" w:color="auto" w:fill="auto"/>
            <w:vAlign w:val="bottom"/>
          </w:tcPr>
          <w:p>
            <w:pPr>
              <w:ind w:firstLine="720" w:firstLineChars="400"/>
              <w:jc w:val="left"/>
              <w:rPr>
                <w:rFonts w:asciiTheme="minorEastAsia" w:hAnsiTheme="minorEastAsia" w:eastAsiaTheme="minorEastAsia"/>
                <w:bCs/>
                <w:color w:val="auto"/>
                <w:sz w:val="18"/>
                <w:szCs w:val="18"/>
              </w:rPr>
            </w:pPr>
            <w:r>
              <w:rPr>
                <w:rFonts w:hint="eastAsia" w:asciiTheme="minorEastAsia" w:hAnsiTheme="minorEastAsia" w:eastAsiaTheme="minorEastAsia"/>
                <w:color w:val="auto"/>
                <w:sz w:val="18"/>
                <w:szCs w:val="22"/>
              </w:rPr>
              <w:t>：基金产品</w:t>
            </w:r>
          </w:p>
        </w:tc>
        <w:tc>
          <w:tcPr>
            <w:tcW w:w="1666" w:type="pct"/>
            <w:tcBorders>
              <w:top w:val="single" w:color="auto" w:sz="4" w:space="0"/>
              <w:left w:val="single" w:color="auto" w:sz="4" w:space="0"/>
              <w:right w:val="single" w:color="auto" w:sz="4" w:space="0"/>
            </w:tcBorders>
            <w:shd w:val="clear" w:color="auto" w:fill="auto"/>
            <w:vAlign w:val="bottom"/>
          </w:tcPr>
          <w:p>
            <w:pPr>
              <w:autoSpaceDE w:val="0"/>
              <w:autoSpaceDN w:val="0"/>
              <w:adjustRightInd w:val="0"/>
              <w:jc w:val="right"/>
              <w:rPr>
                <w:rFonts w:cs="宋体" w:asciiTheme="minorEastAsia" w:hAnsiTheme="minorEastAsia" w:eastAsiaTheme="minorEastAsia"/>
                <w:b/>
                <w:bCs/>
                <w:color w:val="auto"/>
                <w:kern w:val="0"/>
                <w:sz w:val="18"/>
                <w:szCs w:val="18"/>
              </w:rPr>
            </w:pPr>
            <w:r>
              <w:rPr>
                <w:rFonts w:hint="eastAsia" w:asciiTheme="minorEastAsia" w:hAnsiTheme="minorEastAsia" w:eastAsiaTheme="minorEastAsia"/>
                <w:color w:val="auto"/>
                <w:sz w:val="18"/>
                <w:szCs w:val="22"/>
              </w:rPr>
              <w:t xml:space="preserve">   93,585,772.80 </w:t>
            </w:r>
          </w:p>
        </w:tc>
        <w:tc>
          <w:tcPr>
            <w:tcW w:w="1667" w:type="pct"/>
            <w:tcBorders>
              <w:top w:val="single" w:color="auto" w:sz="4" w:space="0"/>
              <w:left w:val="single" w:color="auto" w:sz="4" w:space="0"/>
            </w:tcBorders>
            <w:shd w:val="clear" w:color="auto" w:fill="auto"/>
            <w:vAlign w:val="bottom"/>
          </w:tcPr>
          <w:p>
            <w:pPr>
              <w:jc w:val="right"/>
              <w:rPr>
                <w:rFonts w:ascii="宋体" w:hAnsi="宋体" w:cs="宋体"/>
                <w:bCs/>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454" w:hRule="atLeast"/>
        </w:trPr>
        <w:tc>
          <w:tcPr>
            <w:tcW w:w="1666" w:type="pct"/>
            <w:tcBorders>
              <w:top w:val="single" w:color="auto" w:sz="4" w:space="0"/>
              <w:right w:val="single" w:color="auto" w:sz="4" w:space="0"/>
            </w:tcBorders>
            <w:shd w:val="clear" w:color="auto" w:fill="auto"/>
            <w:vAlign w:val="bottom"/>
          </w:tcPr>
          <w:p>
            <w:pPr>
              <w:ind w:firstLine="720" w:firstLineChars="400"/>
              <w:jc w:val="left"/>
              <w:rPr>
                <w:bCs/>
                <w:color w:val="auto"/>
                <w:sz w:val="18"/>
                <w:szCs w:val="18"/>
              </w:rPr>
            </w:pPr>
            <w:r>
              <w:rPr>
                <w:rFonts w:hint="eastAsia"/>
                <w:bCs/>
                <w:color w:val="auto"/>
                <w:sz w:val="18"/>
                <w:szCs w:val="18"/>
              </w:rPr>
              <w:t>：信托产品</w:t>
            </w:r>
          </w:p>
        </w:tc>
        <w:tc>
          <w:tcPr>
            <w:tcW w:w="1666" w:type="pct"/>
            <w:tcBorders>
              <w:top w:val="single" w:color="auto" w:sz="4" w:space="0"/>
              <w:left w:val="single" w:color="auto" w:sz="4" w:space="0"/>
              <w:right w:val="single" w:color="auto" w:sz="4" w:space="0"/>
            </w:tcBorders>
            <w:shd w:val="clear" w:color="auto" w:fill="auto"/>
            <w:vAlign w:val="bottom"/>
          </w:tcPr>
          <w:p>
            <w:pPr>
              <w:jc w:val="right"/>
              <w:rPr>
                <w:rFonts w:cs="宋体" w:asciiTheme="minorEastAsia" w:hAnsiTheme="minorEastAsia" w:eastAsiaTheme="minorEastAsia"/>
                <w:color w:val="auto"/>
                <w:sz w:val="18"/>
                <w:szCs w:val="22"/>
              </w:rPr>
            </w:pPr>
            <w:r>
              <w:rPr>
                <w:rFonts w:hint="eastAsia" w:asciiTheme="minorEastAsia" w:hAnsiTheme="minorEastAsia" w:eastAsiaTheme="minorEastAsia"/>
                <w:color w:val="auto"/>
                <w:sz w:val="18"/>
                <w:szCs w:val="22"/>
              </w:rPr>
              <w:t xml:space="preserve">   10,106,520.55 </w:t>
            </w:r>
          </w:p>
        </w:tc>
        <w:tc>
          <w:tcPr>
            <w:tcW w:w="1667" w:type="pct"/>
            <w:tcBorders>
              <w:top w:val="single" w:color="auto" w:sz="4" w:space="0"/>
              <w:left w:val="single" w:color="auto" w:sz="4" w:space="0"/>
            </w:tcBorders>
            <w:shd w:val="clear" w:color="auto" w:fill="auto"/>
            <w:vAlign w:val="bottom"/>
          </w:tcPr>
          <w:p>
            <w:pPr>
              <w:jc w:val="right"/>
              <w:rPr>
                <w:rFonts w:ascii="宋体" w:hAnsi="宋体" w:cs="宋体"/>
                <w:bCs/>
                <w:color w:val="auto"/>
                <w:kern w:val="0"/>
                <w:sz w:val="18"/>
                <w:szCs w:val="18"/>
              </w:rPr>
            </w:pPr>
            <w:r>
              <w:rPr>
                <w:rFonts w:ascii="宋体" w:hAnsi="宋体" w:cs="宋体"/>
                <w:bCs/>
                <w:color w:val="auto"/>
                <w:kern w:val="0"/>
                <w:sz w:val="18"/>
                <w:szCs w:val="18"/>
              </w:rPr>
              <w:t>40,870,614.35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454" w:hRule="atLeast"/>
        </w:trPr>
        <w:tc>
          <w:tcPr>
            <w:tcW w:w="1666" w:type="pct"/>
            <w:tcBorders>
              <w:top w:val="single" w:color="auto" w:sz="4" w:space="0"/>
              <w:right w:val="single" w:color="auto" w:sz="4" w:space="0"/>
            </w:tcBorders>
            <w:shd w:val="clear" w:color="auto" w:fill="auto"/>
            <w:vAlign w:val="bottom"/>
          </w:tcPr>
          <w:p>
            <w:pPr>
              <w:jc w:val="left"/>
              <w:rPr>
                <w:bCs/>
                <w:color w:val="auto"/>
                <w:sz w:val="18"/>
                <w:szCs w:val="18"/>
              </w:rPr>
            </w:pPr>
            <w:r>
              <w:rPr>
                <w:rFonts w:hint="eastAsia"/>
                <w:bCs/>
                <w:color w:val="auto"/>
                <w:sz w:val="18"/>
                <w:szCs w:val="18"/>
              </w:rPr>
              <w:t>指定以公允价值计量且其变动计入当期损益的金融资产</w:t>
            </w:r>
          </w:p>
        </w:tc>
        <w:tc>
          <w:tcPr>
            <w:tcW w:w="1666" w:type="pct"/>
            <w:tcBorders>
              <w:top w:val="single" w:color="auto" w:sz="4" w:space="0"/>
              <w:left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b/>
                <w:bCs/>
                <w:color w:val="auto"/>
                <w:kern w:val="0"/>
                <w:sz w:val="18"/>
                <w:szCs w:val="18"/>
              </w:rPr>
            </w:pPr>
          </w:p>
        </w:tc>
        <w:tc>
          <w:tcPr>
            <w:tcW w:w="1667" w:type="pct"/>
            <w:tcBorders>
              <w:top w:val="single" w:color="auto" w:sz="4" w:space="0"/>
              <w:left w:val="single" w:color="auto" w:sz="4" w:space="0"/>
            </w:tcBorders>
            <w:shd w:val="clear" w:color="auto" w:fill="auto"/>
            <w:vAlign w:val="bottom"/>
          </w:tcPr>
          <w:p>
            <w:pPr>
              <w:jc w:val="right"/>
              <w:rPr>
                <w:rFonts w:ascii="宋体" w:hAnsi="宋体" w:cs="宋体"/>
                <w:b/>
                <w:bCs/>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454" w:hRule="atLeast"/>
        </w:trPr>
        <w:tc>
          <w:tcPr>
            <w:tcW w:w="1666" w:type="pct"/>
            <w:tcBorders>
              <w:top w:val="single" w:color="auto" w:sz="12" w:space="0"/>
              <w:right w:val="single" w:color="auto" w:sz="4" w:space="0"/>
            </w:tcBorders>
            <w:shd w:val="clear" w:color="auto" w:fill="auto"/>
            <w:vAlign w:val="bottom"/>
          </w:tcPr>
          <w:p>
            <w:pPr>
              <w:jc w:val="center"/>
              <w:rPr>
                <w:rFonts w:ascii="宋体" w:hAnsi="宋体" w:cs="宋体"/>
                <w:b/>
                <w:bCs/>
                <w:color w:val="auto"/>
                <w:sz w:val="18"/>
                <w:szCs w:val="18"/>
              </w:rPr>
            </w:pPr>
            <w:r>
              <w:rPr>
                <w:rFonts w:hint="eastAsia"/>
                <w:b/>
                <w:bCs/>
                <w:color w:val="auto"/>
                <w:sz w:val="18"/>
                <w:szCs w:val="18"/>
              </w:rPr>
              <w:t>合计</w:t>
            </w:r>
          </w:p>
        </w:tc>
        <w:tc>
          <w:tcPr>
            <w:tcW w:w="1666" w:type="pct"/>
            <w:tcBorders>
              <w:top w:val="single" w:color="auto" w:sz="12" w:space="0"/>
              <w:left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254,123,980.37</w:t>
            </w:r>
          </w:p>
        </w:tc>
        <w:tc>
          <w:tcPr>
            <w:tcW w:w="1667" w:type="pct"/>
            <w:tcBorders>
              <w:top w:val="single" w:color="auto" w:sz="12" w:space="0"/>
              <w:left w:val="single" w:color="auto" w:sz="4" w:space="0"/>
            </w:tcBorders>
            <w:shd w:val="clear" w:color="auto" w:fill="auto"/>
            <w:vAlign w:val="bottom"/>
          </w:tcPr>
          <w:p>
            <w:pPr>
              <w:jc w:val="right"/>
              <w:rPr>
                <w:rFonts w:asciiTheme="majorEastAsia" w:hAnsiTheme="majorEastAsia" w:eastAsiaTheme="majorEastAsia" w:cstheme="minorHAnsi"/>
                <w:b/>
                <w:bCs/>
                <w:color w:val="auto"/>
                <w:sz w:val="18"/>
                <w:szCs w:val="18"/>
              </w:rPr>
            </w:pPr>
            <w:r>
              <w:rPr>
                <w:rFonts w:ascii="宋体" w:hAnsi="宋体" w:cs="宋体"/>
                <w:b/>
                <w:bCs/>
                <w:color w:val="auto"/>
                <w:kern w:val="0"/>
                <w:sz w:val="18"/>
                <w:szCs w:val="18"/>
              </w:rPr>
              <w:t xml:space="preserve">188,606,030.67 </w:t>
            </w:r>
          </w:p>
        </w:tc>
      </w:tr>
    </w:tbl>
    <w:p>
      <w:pPr>
        <w:spacing w:before="150" w:beforeLines="50" w:line="360" w:lineRule="auto"/>
        <w:ind w:firstLine="420" w:firstLineChars="200"/>
        <w:outlineLvl w:val="1"/>
        <w:rPr>
          <w:rFonts w:ascii="宋体" w:hAnsi="宋体"/>
          <w:b/>
          <w:color w:val="auto"/>
          <w:sz w:val="24"/>
          <w:szCs w:val="24"/>
        </w:rPr>
      </w:pPr>
      <w:r>
        <w:rPr>
          <w:rFonts w:hint="eastAsia" w:ascii="宋体" w:hAnsi="宋体"/>
          <w:b/>
          <w:color w:val="auto"/>
          <w:szCs w:val="21"/>
        </w:rPr>
        <w:t>3、</w:t>
      </w:r>
      <w:r>
        <w:rPr>
          <w:rFonts w:hint="eastAsia" w:ascii="宋体" w:hAnsi="宋体"/>
          <w:b/>
          <w:color w:val="auto"/>
          <w:sz w:val="24"/>
          <w:szCs w:val="24"/>
        </w:rPr>
        <w:t>应收票据</w:t>
      </w:r>
    </w:p>
    <w:p>
      <w:pPr>
        <w:spacing w:after="150" w:afterLines="50" w:line="360" w:lineRule="auto"/>
        <w:ind w:firstLine="420" w:firstLineChars="200"/>
        <w:rPr>
          <w:rFonts w:ascii="宋体" w:hAnsi="宋体" w:cs="宋体"/>
          <w:color w:val="auto"/>
        </w:rPr>
      </w:pPr>
      <w:r>
        <w:rPr>
          <w:rFonts w:hint="eastAsia" w:ascii="宋体" w:hAnsi="宋体" w:cs="宋体"/>
          <w:color w:val="auto"/>
        </w:rPr>
        <w:t>（1）明细项目：</w:t>
      </w:r>
    </w:p>
    <w:tbl>
      <w:tblPr>
        <w:tblStyle w:val="9"/>
        <w:tblW w:w="5000" w:type="pct"/>
        <w:tblCaption w:val="&quot;\\tiantang1\共享文档\2、隆基机械2022-12\1、隆基机械年审2022-12\隆基机械附注2022\4、附注计算2022.12.xlsx&quot; &quot;附注格式2022!_ReportTable_0011&quot;"/>
        <w:tblDescription w:val="B39:H43"/>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31" w:type="dxa"/>
          <w:bottom w:w="0" w:type="dxa"/>
          <w:right w:w="31" w:type="dxa"/>
        </w:tblCellMar>
      </w:tblPr>
      <w:tblGrid>
        <w:gridCol w:w="1631"/>
        <w:gridCol w:w="1327"/>
        <w:gridCol w:w="1385"/>
        <w:gridCol w:w="1385"/>
        <w:gridCol w:w="1385"/>
        <w:gridCol w:w="1387"/>
        <w:gridCol w:w="119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841" w:type="pct"/>
            <w:vMerge w:val="restart"/>
            <w:tcBorders>
              <w:top w:val="single" w:color="auto" w:sz="12" w:space="0"/>
              <w:left w:val="nil"/>
              <w:bottom w:val="single" w:color="auto" w:sz="12" w:space="0"/>
              <w:right w:val="single" w:color="auto" w:sz="2" w:space="0"/>
            </w:tcBorders>
            <w:vAlign w:val="center"/>
          </w:tcPr>
          <w:p>
            <w:pPr>
              <w:jc w:val="center"/>
              <w:rPr>
                <w:rFonts w:ascii="宋体" w:hAnsi="宋体"/>
                <w:b/>
                <w:color w:val="auto"/>
                <w:sz w:val="18"/>
                <w:szCs w:val="18"/>
              </w:rPr>
            </w:pPr>
            <w:r>
              <w:rPr>
                <w:rFonts w:hint="eastAsia" w:ascii="宋体" w:hAnsi="宋体"/>
                <w:b/>
                <w:color w:val="auto"/>
                <w:sz w:val="18"/>
                <w:szCs w:val="18"/>
              </w:rPr>
              <w:t>项目</w:t>
            </w:r>
          </w:p>
        </w:tc>
        <w:tc>
          <w:tcPr>
            <w:tcW w:w="2112" w:type="pct"/>
            <w:gridSpan w:val="3"/>
            <w:tcBorders>
              <w:top w:val="single" w:color="auto" w:sz="12" w:space="0"/>
              <w:left w:val="single" w:color="auto" w:sz="2" w:space="0"/>
              <w:bottom w:val="single" w:color="auto" w:sz="4" w:space="0"/>
              <w:right w:val="single" w:color="auto" w:sz="4" w:space="0"/>
            </w:tcBorders>
            <w:vAlign w:val="center"/>
          </w:tcPr>
          <w:p>
            <w:pPr>
              <w:jc w:val="center"/>
              <w:rPr>
                <w:rFonts w:ascii="宋体" w:hAnsi="宋体"/>
                <w:b/>
                <w:color w:val="auto"/>
                <w:spacing w:val="4"/>
                <w:sz w:val="18"/>
              </w:rPr>
            </w:pPr>
            <w:r>
              <w:rPr>
                <w:rFonts w:hint="eastAsia" w:ascii="宋体" w:hAnsi="宋体"/>
                <w:b/>
                <w:color w:val="auto"/>
                <w:spacing w:val="4"/>
                <w:sz w:val="18"/>
              </w:rPr>
              <w:t>期末余额</w:t>
            </w:r>
          </w:p>
        </w:tc>
        <w:tc>
          <w:tcPr>
            <w:tcW w:w="2047" w:type="pct"/>
            <w:gridSpan w:val="3"/>
            <w:tcBorders>
              <w:top w:val="single" w:color="auto" w:sz="12" w:space="0"/>
              <w:left w:val="single" w:color="auto" w:sz="4" w:space="0"/>
              <w:bottom w:val="single" w:color="auto" w:sz="4" w:space="0"/>
              <w:right w:val="nil"/>
            </w:tcBorders>
            <w:vAlign w:val="center"/>
          </w:tcPr>
          <w:p>
            <w:pPr>
              <w:jc w:val="center"/>
              <w:rPr>
                <w:rFonts w:ascii="宋体" w:hAnsi="宋体"/>
                <w:b/>
                <w:color w:val="auto"/>
                <w:spacing w:val="4"/>
                <w:sz w:val="18"/>
              </w:rPr>
            </w:pPr>
            <w:r>
              <w:rPr>
                <w:rFonts w:hint="eastAsia" w:ascii="宋体" w:hAnsi="宋体"/>
                <w:b/>
                <w:color w:val="auto"/>
                <w:spacing w:val="4"/>
                <w:sz w:val="18"/>
              </w:rPr>
              <w:t>期初余额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841" w:type="pct"/>
            <w:vMerge w:val="continue"/>
            <w:tcBorders>
              <w:top w:val="single" w:color="auto" w:sz="2" w:space="0"/>
              <w:left w:val="nil"/>
              <w:bottom w:val="single" w:color="auto" w:sz="12" w:space="0"/>
              <w:right w:val="single" w:color="auto" w:sz="4" w:space="0"/>
            </w:tcBorders>
            <w:vAlign w:val="center"/>
          </w:tcPr>
          <w:p>
            <w:pPr>
              <w:jc w:val="center"/>
              <w:rPr>
                <w:rFonts w:ascii="宋体" w:hAnsi="宋体"/>
                <w:b/>
                <w:color w:val="auto"/>
                <w:sz w:val="18"/>
                <w:szCs w:val="18"/>
              </w:rPr>
            </w:pPr>
          </w:p>
        </w:tc>
        <w:tc>
          <w:tcPr>
            <w:tcW w:w="684"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账面余额</w:t>
            </w:r>
          </w:p>
        </w:tc>
        <w:tc>
          <w:tcPr>
            <w:tcW w:w="714"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坏账准备</w:t>
            </w:r>
          </w:p>
        </w:tc>
        <w:tc>
          <w:tcPr>
            <w:tcW w:w="714"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账面价值</w:t>
            </w:r>
          </w:p>
        </w:tc>
        <w:tc>
          <w:tcPr>
            <w:tcW w:w="714"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账面余额</w:t>
            </w:r>
          </w:p>
        </w:tc>
        <w:tc>
          <w:tcPr>
            <w:tcW w:w="715"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坏账准备</w:t>
            </w:r>
          </w:p>
        </w:tc>
        <w:tc>
          <w:tcPr>
            <w:tcW w:w="618" w:type="pct"/>
            <w:tcBorders>
              <w:top w:val="single" w:color="auto" w:sz="4" w:space="0"/>
              <w:left w:val="single" w:color="auto" w:sz="4" w:space="0"/>
              <w:bottom w:val="single" w:color="auto" w:sz="12" w:space="0"/>
              <w:right w:val="nil"/>
            </w:tcBorders>
            <w:vAlign w:val="center"/>
          </w:tcPr>
          <w:p>
            <w:pPr>
              <w:jc w:val="center"/>
              <w:rPr>
                <w:rFonts w:ascii="宋体" w:hAnsi="宋体"/>
                <w:b/>
                <w:color w:val="auto"/>
                <w:sz w:val="18"/>
                <w:szCs w:val="18"/>
              </w:rPr>
            </w:pPr>
            <w:r>
              <w:rPr>
                <w:rFonts w:hint="eastAsia" w:ascii="宋体" w:hAnsi="宋体"/>
                <w:b/>
                <w:color w:val="auto"/>
                <w:sz w:val="18"/>
                <w:szCs w:val="18"/>
              </w:rPr>
              <w:t>账面价值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841" w:type="pct"/>
            <w:tcBorders>
              <w:top w:val="single" w:color="auto" w:sz="12" w:space="0"/>
              <w:left w:val="nil"/>
              <w:right w:val="single" w:color="auto" w:sz="4" w:space="0"/>
            </w:tcBorders>
            <w:vAlign w:val="bottom"/>
          </w:tcPr>
          <w:p>
            <w:pPr>
              <w:rPr>
                <w:rFonts w:ascii="宋体" w:hAnsi="宋体" w:cs="宋体"/>
                <w:color w:val="auto"/>
                <w:sz w:val="18"/>
                <w:szCs w:val="18"/>
              </w:rPr>
            </w:pPr>
            <w:r>
              <w:rPr>
                <w:rFonts w:hint="eastAsia"/>
                <w:color w:val="auto"/>
                <w:sz w:val="18"/>
                <w:szCs w:val="18"/>
              </w:rPr>
              <w:t>银行承兑汇票</w:t>
            </w:r>
          </w:p>
        </w:tc>
        <w:tc>
          <w:tcPr>
            <w:tcW w:w="684" w:type="pct"/>
            <w:tcBorders>
              <w:top w:val="single" w:color="auto" w:sz="12" w:space="0"/>
              <w:left w:val="single" w:color="auto" w:sz="4" w:space="0"/>
              <w:right w:val="single" w:color="auto" w:sz="4" w:space="0"/>
            </w:tcBorders>
            <w:vAlign w:val="bottom"/>
          </w:tcPr>
          <w:p>
            <w:pPr>
              <w:jc w:val="right"/>
              <w:rPr>
                <w:rFonts w:ascii="宋体" w:hAnsi="宋体" w:cs="宋体"/>
                <w:color w:val="auto"/>
                <w:sz w:val="18"/>
                <w:szCs w:val="18"/>
              </w:rPr>
            </w:pPr>
          </w:p>
        </w:tc>
        <w:tc>
          <w:tcPr>
            <w:tcW w:w="714" w:type="pct"/>
            <w:tcBorders>
              <w:top w:val="single" w:color="auto" w:sz="12" w:space="0"/>
              <w:left w:val="single" w:color="auto" w:sz="4" w:space="0"/>
              <w:right w:val="single" w:color="auto" w:sz="4" w:space="0"/>
            </w:tcBorders>
            <w:vAlign w:val="bottom"/>
          </w:tcPr>
          <w:p>
            <w:pPr>
              <w:jc w:val="right"/>
              <w:rPr>
                <w:rFonts w:ascii="宋体" w:hAnsi="宋体" w:cs="宋体"/>
                <w:color w:val="auto"/>
                <w:sz w:val="18"/>
                <w:szCs w:val="18"/>
              </w:rPr>
            </w:pPr>
          </w:p>
        </w:tc>
        <w:tc>
          <w:tcPr>
            <w:tcW w:w="714" w:type="pct"/>
            <w:tcBorders>
              <w:top w:val="single" w:color="auto" w:sz="12" w:space="0"/>
              <w:left w:val="single" w:color="auto" w:sz="4" w:space="0"/>
              <w:right w:val="single" w:color="auto" w:sz="4" w:space="0"/>
            </w:tcBorders>
            <w:vAlign w:val="bottom"/>
          </w:tcPr>
          <w:p>
            <w:pPr>
              <w:jc w:val="right"/>
              <w:rPr>
                <w:rFonts w:ascii="宋体" w:hAnsi="宋体" w:cs="宋体"/>
                <w:color w:val="auto"/>
                <w:sz w:val="18"/>
                <w:szCs w:val="18"/>
              </w:rPr>
            </w:pPr>
          </w:p>
        </w:tc>
        <w:tc>
          <w:tcPr>
            <w:tcW w:w="714" w:type="pct"/>
            <w:tcBorders>
              <w:top w:val="single" w:color="auto" w:sz="12" w:space="0"/>
              <w:left w:val="single" w:color="auto" w:sz="4" w:space="0"/>
              <w:right w:val="single" w:color="auto" w:sz="4" w:space="0"/>
            </w:tcBorders>
            <w:vAlign w:val="bottom"/>
          </w:tcPr>
          <w:p>
            <w:pPr>
              <w:jc w:val="right"/>
              <w:rPr>
                <w:rFonts w:ascii="宋体" w:hAnsi="宋体"/>
                <w:color w:val="auto"/>
                <w:sz w:val="18"/>
                <w:szCs w:val="18"/>
              </w:rPr>
            </w:pPr>
          </w:p>
        </w:tc>
        <w:tc>
          <w:tcPr>
            <w:tcW w:w="715" w:type="pct"/>
            <w:tcBorders>
              <w:top w:val="single" w:color="auto" w:sz="12" w:space="0"/>
              <w:left w:val="single" w:color="auto" w:sz="4" w:space="0"/>
              <w:right w:val="single" w:color="auto" w:sz="4" w:space="0"/>
            </w:tcBorders>
            <w:vAlign w:val="bottom"/>
          </w:tcPr>
          <w:p>
            <w:pPr>
              <w:jc w:val="right"/>
              <w:rPr>
                <w:rFonts w:ascii="宋体" w:hAnsi="宋体"/>
                <w:color w:val="auto"/>
                <w:sz w:val="18"/>
                <w:szCs w:val="18"/>
              </w:rPr>
            </w:pPr>
          </w:p>
        </w:tc>
        <w:tc>
          <w:tcPr>
            <w:tcW w:w="618" w:type="pct"/>
            <w:tcBorders>
              <w:top w:val="single" w:color="auto" w:sz="12" w:space="0"/>
              <w:left w:val="single" w:color="auto" w:sz="4" w:space="0"/>
              <w:right w:val="nil"/>
            </w:tcBorders>
            <w:vAlign w:val="bottom"/>
          </w:tcPr>
          <w:p>
            <w:pPr>
              <w:jc w:val="right"/>
              <w:rPr>
                <w:rFonts w:ascii="宋体" w:hAnsi="宋体"/>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841" w:type="pct"/>
            <w:tcBorders>
              <w:left w:val="nil"/>
              <w:right w:val="single" w:color="auto" w:sz="4" w:space="0"/>
            </w:tcBorders>
            <w:vAlign w:val="bottom"/>
          </w:tcPr>
          <w:p>
            <w:pPr>
              <w:rPr>
                <w:rFonts w:ascii="宋体" w:hAnsi="宋体" w:cs="宋体"/>
                <w:color w:val="auto"/>
                <w:sz w:val="18"/>
                <w:szCs w:val="18"/>
              </w:rPr>
            </w:pPr>
            <w:r>
              <w:rPr>
                <w:rFonts w:hint="eastAsia"/>
                <w:color w:val="auto"/>
                <w:sz w:val="18"/>
                <w:szCs w:val="18"/>
              </w:rPr>
              <w:t>商业承兑汇票</w:t>
            </w:r>
          </w:p>
        </w:tc>
        <w:tc>
          <w:tcPr>
            <w:tcW w:w="684" w:type="pct"/>
            <w:tcBorders>
              <w:left w:val="single" w:color="auto" w:sz="4" w:space="0"/>
              <w:right w:val="single" w:color="auto" w:sz="4" w:space="0"/>
            </w:tcBorders>
            <w:vAlign w:val="bottom"/>
          </w:tcPr>
          <w:p>
            <w:pPr>
              <w:jc w:val="right"/>
              <w:rPr>
                <w:rFonts w:ascii="宋体" w:hAnsi="宋体" w:cs="宋体"/>
                <w:color w:val="auto"/>
                <w:sz w:val="18"/>
                <w:szCs w:val="18"/>
              </w:rPr>
            </w:pPr>
            <w:r>
              <w:rPr>
                <w:rFonts w:ascii="宋体" w:hAnsi="宋体" w:cs="宋体"/>
                <w:color w:val="auto"/>
                <w:kern w:val="0"/>
                <w:sz w:val="18"/>
                <w:szCs w:val="18"/>
              </w:rPr>
              <w:t>236,700.00</w:t>
            </w:r>
          </w:p>
        </w:tc>
        <w:tc>
          <w:tcPr>
            <w:tcW w:w="714" w:type="pct"/>
            <w:tcBorders>
              <w:left w:val="single" w:color="auto" w:sz="4" w:space="0"/>
              <w:right w:val="single" w:color="auto" w:sz="4" w:space="0"/>
            </w:tcBorders>
            <w:vAlign w:val="bottom"/>
          </w:tcPr>
          <w:p>
            <w:pPr>
              <w:jc w:val="right"/>
              <w:rPr>
                <w:rFonts w:ascii="宋体" w:hAnsi="宋体" w:cs="宋体"/>
                <w:color w:val="auto"/>
                <w:sz w:val="18"/>
                <w:szCs w:val="18"/>
              </w:rPr>
            </w:pPr>
            <w:r>
              <w:rPr>
                <w:rFonts w:ascii="宋体" w:hAnsi="宋体" w:cs="宋体"/>
                <w:color w:val="auto"/>
                <w:kern w:val="0"/>
                <w:sz w:val="18"/>
                <w:szCs w:val="18"/>
              </w:rPr>
              <w:t>11,835.00</w:t>
            </w:r>
          </w:p>
        </w:tc>
        <w:tc>
          <w:tcPr>
            <w:tcW w:w="714" w:type="pct"/>
            <w:tcBorders>
              <w:left w:val="single" w:color="auto" w:sz="4" w:space="0"/>
              <w:right w:val="single" w:color="auto" w:sz="4" w:space="0"/>
            </w:tcBorders>
            <w:vAlign w:val="bottom"/>
          </w:tcPr>
          <w:p>
            <w:pPr>
              <w:jc w:val="right"/>
              <w:rPr>
                <w:rFonts w:ascii="宋体" w:hAnsi="宋体" w:cs="宋体"/>
                <w:color w:val="auto"/>
                <w:sz w:val="18"/>
                <w:szCs w:val="18"/>
              </w:rPr>
            </w:pPr>
            <w:r>
              <w:rPr>
                <w:rFonts w:ascii="宋体" w:hAnsi="宋体" w:cs="宋体"/>
                <w:color w:val="auto"/>
                <w:kern w:val="0"/>
                <w:sz w:val="18"/>
                <w:szCs w:val="18"/>
              </w:rPr>
              <w:t xml:space="preserve">224,865.00 </w:t>
            </w:r>
          </w:p>
        </w:tc>
        <w:tc>
          <w:tcPr>
            <w:tcW w:w="714" w:type="pct"/>
            <w:tcBorders>
              <w:left w:val="single" w:color="auto" w:sz="4" w:space="0"/>
              <w:right w:val="single" w:color="auto" w:sz="4" w:space="0"/>
            </w:tcBorders>
            <w:vAlign w:val="bottom"/>
          </w:tcPr>
          <w:p>
            <w:pPr>
              <w:jc w:val="right"/>
              <w:rPr>
                <w:rFonts w:ascii="宋体" w:hAnsi="宋体"/>
                <w:color w:val="auto"/>
                <w:sz w:val="18"/>
                <w:szCs w:val="18"/>
              </w:rPr>
            </w:pPr>
          </w:p>
        </w:tc>
        <w:tc>
          <w:tcPr>
            <w:tcW w:w="715" w:type="pct"/>
            <w:tcBorders>
              <w:left w:val="single" w:color="auto" w:sz="4" w:space="0"/>
              <w:right w:val="single" w:color="auto" w:sz="4" w:space="0"/>
            </w:tcBorders>
            <w:vAlign w:val="bottom"/>
          </w:tcPr>
          <w:p>
            <w:pPr>
              <w:jc w:val="right"/>
              <w:rPr>
                <w:rFonts w:ascii="宋体" w:hAnsi="宋体"/>
                <w:color w:val="auto"/>
                <w:sz w:val="18"/>
                <w:szCs w:val="18"/>
              </w:rPr>
            </w:pPr>
          </w:p>
        </w:tc>
        <w:tc>
          <w:tcPr>
            <w:tcW w:w="618" w:type="pct"/>
            <w:tcBorders>
              <w:left w:val="single" w:color="auto" w:sz="4" w:space="0"/>
              <w:right w:val="nil"/>
            </w:tcBorders>
            <w:vAlign w:val="bottom"/>
          </w:tcPr>
          <w:p>
            <w:pPr>
              <w:jc w:val="right"/>
              <w:rPr>
                <w:rFonts w:ascii="宋体" w:hAnsi="宋体"/>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841" w:type="pct"/>
            <w:tcBorders>
              <w:top w:val="single" w:color="auto" w:sz="12" w:space="0"/>
              <w:left w:val="nil"/>
              <w:bottom w:val="single" w:color="auto" w:sz="12" w:space="0"/>
              <w:right w:val="single" w:color="auto" w:sz="4" w:space="0"/>
            </w:tcBorders>
            <w:vAlign w:val="bottom"/>
          </w:tcPr>
          <w:p>
            <w:pPr>
              <w:jc w:val="center"/>
              <w:rPr>
                <w:rFonts w:ascii="宋体" w:hAnsi="宋体"/>
                <w:b/>
                <w:color w:val="auto"/>
                <w:sz w:val="18"/>
                <w:szCs w:val="18"/>
              </w:rPr>
            </w:pPr>
            <w:r>
              <w:rPr>
                <w:rFonts w:hint="eastAsia" w:ascii="宋体" w:hAnsi="宋体"/>
                <w:b/>
                <w:color w:val="auto"/>
                <w:sz w:val="18"/>
                <w:szCs w:val="18"/>
              </w:rPr>
              <w:t>合计</w:t>
            </w:r>
          </w:p>
        </w:tc>
        <w:tc>
          <w:tcPr>
            <w:tcW w:w="684" w:type="pct"/>
            <w:tcBorders>
              <w:top w:val="single" w:color="auto" w:sz="12" w:space="0"/>
              <w:left w:val="single" w:color="auto" w:sz="4" w:space="0"/>
              <w:bottom w:val="single" w:color="auto" w:sz="12" w:space="0"/>
              <w:right w:val="single" w:color="auto" w:sz="4" w:space="0"/>
            </w:tcBorders>
            <w:vAlign w:val="bottom"/>
          </w:tcPr>
          <w:p>
            <w:pPr>
              <w:jc w:val="right"/>
              <w:rPr>
                <w:rFonts w:ascii="宋体" w:hAnsi="宋体" w:cs="宋体"/>
                <w:b/>
                <w:bCs/>
                <w:color w:val="auto"/>
                <w:sz w:val="18"/>
                <w:szCs w:val="18"/>
              </w:rPr>
            </w:pPr>
            <w:r>
              <w:rPr>
                <w:rFonts w:ascii="宋体" w:hAnsi="宋体" w:cs="宋体"/>
                <w:b/>
                <w:bCs/>
                <w:color w:val="auto"/>
                <w:kern w:val="0"/>
                <w:sz w:val="18"/>
                <w:szCs w:val="18"/>
              </w:rPr>
              <w:t>236,700.00</w:t>
            </w:r>
          </w:p>
        </w:tc>
        <w:tc>
          <w:tcPr>
            <w:tcW w:w="714" w:type="pct"/>
            <w:tcBorders>
              <w:top w:val="single" w:color="auto" w:sz="12" w:space="0"/>
              <w:left w:val="single" w:color="auto" w:sz="4" w:space="0"/>
              <w:bottom w:val="single" w:color="auto" w:sz="12" w:space="0"/>
              <w:right w:val="single" w:color="auto" w:sz="4" w:space="0"/>
            </w:tcBorders>
            <w:vAlign w:val="bottom"/>
          </w:tcPr>
          <w:p>
            <w:pPr>
              <w:jc w:val="right"/>
              <w:rPr>
                <w:rFonts w:ascii="宋体" w:hAnsi="宋体" w:cs="宋体"/>
                <w:b/>
                <w:bCs/>
                <w:color w:val="auto"/>
                <w:sz w:val="18"/>
                <w:szCs w:val="18"/>
              </w:rPr>
            </w:pPr>
            <w:r>
              <w:rPr>
                <w:rFonts w:ascii="宋体" w:hAnsi="宋体" w:cs="宋体"/>
                <w:b/>
                <w:bCs/>
                <w:color w:val="auto"/>
                <w:kern w:val="0"/>
                <w:sz w:val="18"/>
                <w:szCs w:val="18"/>
              </w:rPr>
              <w:t>11,835.00</w:t>
            </w:r>
          </w:p>
        </w:tc>
        <w:tc>
          <w:tcPr>
            <w:tcW w:w="714" w:type="pct"/>
            <w:tcBorders>
              <w:top w:val="single" w:color="auto" w:sz="12" w:space="0"/>
              <w:left w:val="single" w:color="auto" w:sz="4" w:space="0"/>
              <w:bottom w:val="single" w:color="auto" w:sz="12" w:space="0"/>
              <w:right w:val="single" w:color="auto" w:sz="4" w:space="0"/>
            </w:tcBorders>
            <w:vAlign w:val="bottom"/>
          </w:tcPr>
          <w:p>
            <w:pPr>
              <w:jc w:val="right"/>
              <w:rPr>
                <w:rFonts w:ascii="宋体" w:hAnsi="宋体" w:cs="宋体"/>
                <w:b/>
                <w:bCs/>
                <w:color w:val="auto"/>
                <w:sz w:val="18"/>
                <w:szCs w:val="18"/>
              </w:rPr>
            </w:pPr>
            <w:r>
              <w:rPr>
                <w:rFonts w:ascii="宋体" w:hAnsi="宋体" w:cs="宋体"/>
                <w:b/>
                <w:bCs/>
                <w:color w:val="auto"/>
                <w:kern w:val="0"/>
                <w:sz w:val="18"/>
                <w:szCs w:val="18"/>
              </w:rPr>
              <w:t xml:space="preserve">224,865.00 </w:t>
            </w:r>
          </w:p>
        </w:tc>
        <w:tc>
          <w:tcPr>
            <w:tcW w:w="714" w:type="pct"/>
            <w:tcBorders>
              <w:top w:val="single" w:color="auto" w:sz="12" w:space="0"/>
              <w:left w:val="single" w:color="auto" w:sz="4" w:space="0"/>
              <w:bottom w:val="single" w:color="auto" w:sz="12" w:space="0"/>
              <w:right w:val="single" w:color="auto" w:sz="4" w:space="0"/>
            </w:tcBorders>
            <w:vAlign w:val="bottom"/>
          </w:tcPr>
          <w:p>
            <w:pPr>
              <w:jc w:val="right"/>
              <w:rPr>
                <w:rFonts w:ascii="宋体" w:hAnsi="宋体"/>
                <w:b/>
                <w:bCs/>
                <w:color w:val="auto"/>
                <w:sz w:val="18"/>
                <w:szCs w:val="18"/>
              </w:rPr>
            </w:pPr>
          </w:p>
        </w:tc>
        <w:tc>
          <w:tcPr>
            <w:tcW w:w="715" w:type="pct"/>
            <w:tcBorders>
              <w:top w:val="single" w:color="auto" w:sz="12" w:space="0"/>
              <w:left w:val="single" w:color="auto" w:sz="4" w:space="0"/>
              <w:bottom w:val="single" w:color="auto" w:sz="12" w:space="0"/>
              <w:right w:val="single" w:color="auto" w:sz="4" w:space="0"/>
            </w:tcBorders>
            <w:vAlign w:val="bottom"/>
          </w:tcPr>
          <w:p>
            <w:pPr>
              <w:jc w:val="right"/>
              <w:rPr>
                <w:rFonts w:ascii="宋体" w:hAnsi="宋体"/>
                <w:b/>
                <w:bCs/>
                <w:color w:val="auto"/>
                <w:sz w:val="18"/>
                <w:szCs w:val="18"/>
              </w:rPr>
            </w:pPr>
          </w:p>
        </w:tc>
        <w:tc>
          <w:tcPr>
            <w:tcW w:w="618" w:type="pct"/>
            <w:tcBorders>
              <w:top w:val="single" w:color="auto" w:sz="12" w:space="0"/>
              <w:left w:val="single" w:color="auto" w:sz="4" w:space="0"/>
              <w:bottom w:val="single" w:color="auto" w:sz="12" w:space="0"/>
              <w:right w:val="nil"/>
            </w:tcBorders>
            <w:vAlign w:val="bottom"/>
          </w:tcPr>
          <w:p>
            <w:pPr>
              <w:jc w:val="right"/>
              <w:rPr>
                <w:rFonts w:ascii="宋体" w:hAnsi="宋体"/>
                <w:b/>
                <w:bCs/>
                <w:color w:val="auto"/>
                <w:sz w:val="18"/>
                <w:szCs w:val="18"/>
              </w:rPr>
            </w:pPr>
          </w:p>
        </w:tc>
      </w:tr>
    </w:tbl>
    <w:p>
      <w:pPr>
        <w:spacing w:before="150" w:beforeLines="50" w:after="150" w:afterLines="50" w:line="360" w:lineRule="auto"/>
        <w:ind w:firstLine="420" w:firstLineChars="200"/>
        <w:rPr>
          <w:rFonts w:ascii="宋体" w:hAnsi="宋体" w:cs="宋体"/>
          <w:color w:val="auto"/>
        </w:rPr>
      </w:pPr>
      <w:r>
        <w:rPr>
          <w:rFonts w:hint="eastAsia" w:ascii="宋体" w:hAnsi="宋体" w:cs="宋体"/>
          <w:color w:val="auto"/>
        </w:rPr>
        <w:t>（2）</w:t>
      </w:r>
      <w:r>
        <w:rPr>
          <w:rFonts w:ascii="宋体" w:hAnsi="宋体" w:cs="宋体"/>
          <w:color w:val="auto"/>
        </w:rPr>
        <w:t>本期计提、收回或转回的坏账准备情况：</w:t>
      </w:r>
    </w:p>
    <w:tbl>
      <w:tblPr>
        <w:tblStyle w:val="9"/>
        <w:tblW w:w="5000" w:type="pct"/>
        <w:tblCaption w:val="&quot;\\tiantang1\共享文档\2、隆基机械2022-12\1、隆基机械年审2022-12\隆基机械附注2022\4、附注计算2022.12.xlsx&quot; &quot;附注格式2022!_ReportTable_0012&quot;"/>
        <w:tblDescription w:val="B47:G50"/>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28" w:type="dxa"/>
          <w:bottom w:w="0" w:type="dxa"/>
          <w:right w:w="28" w:type="dxa"/>
        </w:tblCellMar>
      </w:tblPr>
      <w:tblGrid>
        <w:gridCol w:w="2032"/>
        <w:gridCol w:w="1692"/>
        <w:gridCol w:w="1452"/>
        <w:gridCol w:w="1452"/>
        <w:gridCol w:w="1452"/>
        <w:gridCol w:w="1613"/>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1048" w:type="pct"/>
            <w:vMerge w:val="restart"/>
            <w:tcBorders>
              <w:top w:val="single" w:color="auto" w:sz="12" w:space="0"/>
              <w:bottom w:val="single" w:color="auto" w:sz="8" w:space="0"/>
              <w:right w:val="single" w:color="auto"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类</w:t>
            </w:r>
            <w:r>
              <w:rPr>
                <w:rFonts w:ascii="宋体" w:hAnsi="宋体" w:cs="宋体"/>
                <w:b/>
                <w:bCs/>
                <w:color w:val="auto"/>
                <w:sz w:val="18"/>
                <w:szCs w:val="18"/>
              </w:rPr>
              <w:t>别</w:t>
            </w:r>
          </w:p>
        </w:tc>
        <w:tc>
          <w:tcPr>
            <w:tcW w:w="873" w:type="pct"/>
            <w:vMerge w:val="restart"/>
            <w:tcBorders>
              <w:top w:val="single" w:color="auto" w:sz="12" w:space="0"/>
              <w:left w:val="single" w:color="auto" w:sz="4" w:space="0"/>
              <w:bottom w:val="single" w:color="auto" w:sz="8" w:space="0"/>
              <w:right w:val="single" w:color="auto"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期初余额</w:t>
            </w:r>
          </w:p>
        </w:tc>
        <w:tc>
          <w:tcPr>
            <w:tcW w:w="2246" w:type="pct"/>
            <w:gridSpan w:val="3"/>
            <w:tcBorders>
              <w:top w:val="single" w:color="auto" w:sz="12" w:space="0"/>
              <w:left w:val="single" w:color="auto" w:sz="4" w:space="0"/>
              <w:bottom w:val="single" w:color="auto" w:sz="4" w:space="0"/>
              <w:right w:val="single" w:color="auto" w:sz="4" w:space="0"/>
            </w:tcBorders>
            <w:vAlign w:val="center"/>
          </w:tcPr>
          <w:p>
            <w:pPr>
              <w:jc w:val="center"/>
              <w:rPr>
                <w:b/>
                <w:color w:val="auto"/>
                <w:sz w:val="18"/>
                <w:szCs w:val="18"/>
                <w:shd w:val="clear" w:color="auto" w:fill="FFFFFF"/>
              </w:rPr>
            </w:pPr>
            <w:r>
              <w:rPr>
                <w:rFonts w:hint="eastAsia" w:ascii="宋体" w:hAnsi="宋体" w:cs="宋体"/>
                <w:b/>
                <w:bCs/>
                <w:color w:val="auto"/>
                <w:sz w:val="18"/>
                <w:szCs w:val="18"/>
              </w:rPr>
              <w:t>本期变动金额</w:t>
            </w:r>
          </w:p>
        </w:tc>
        <w:tc>
          <w:tcPr>
            <w:tcW w:w="832" w:type="pct"/>
            <w:vMerge w:val="restart"/>
            <w:tcBorders>
              <w:top w:val="single" w:color="auto" w:sz="12" w:space="0"/>
              <w:left w:val="single" w:color="auto" w:sz="4" w:space="0"/>
              <w:bottom w:val="single" w:color="auto" w:sz="8" w:space="0"/>
            </w:tcBorders>
            <w:vAlign w:val="center"/>
          </w:tcPr>
          <w:p>
            <w:pPr>
              <w:jc w:val="center"/>
              <w:rPr>
                <w:b/>
                <w:color w:val="auto"/>
                <w:sz w:val="18"/>
                <w:szCs w:val="18"/>
                <w:shd w:val="clear" w:color="auto" w:fill="FFFFFF"/>
              </w:rPr>
            </w:pPr>
            <w:r>
              <w:rPr>
                <w:rFonts w:hint="eastAsia" w:ascii="宋体" w:hAnsi="宋体" w:cs="宋体"/>
                <w:b/>
                <w:bCs/>
                <w:color w:val="auto"/>
                <w:sz w:val="18"/>
                <w:szCs w:val="18"/>
              </w:rPr>
              <w:t>期末余额</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1048" w:type="pct"/>
            <w:vMerge w:val="continue"/>
            <w:tcBorders>
              <w:top w:val="single" w:color="auto" w:sz="8" w:space="0"/>
              <w:bottom w:val="single" w:color="auto" w:sz="12" w:space="0"/>
              <w:right w:val="single" w:color="auto" w:sz="4" w:space="0"/>
            </w:tcBorders>
            <w:vAlign w:val="center"/>
          </w:tcPr>
          <w:p>
            <w:pPr>
              <w:jc w:val="center"/>
              <w:rPr>
                <w:b/>
                <w:color w:val="auto"/>
                <w:sz w:val="18"/>
                <w:szCs w:val="18"/>
                <w:shd w:val="clear" w:color="auto" w:fill="FFFFFF"/>
              </w:rPr>
            </w:pPr>
          </w:p>
        </w:tc>
        <w:tc>
          <w:tcPr>
            <w:tcW w:w="873" w:type="pct"/>
            <w:vMerge w:val="continue"/>
            <w:tcBorders>
              <w:top w:val="single" w:color="auto" w:sz="8" w:space="0"/>
              <w:left w:val="single" w:color="auto" w:sz="4" w:space="0"/>
              <w:bottom w:val="single" w:color="auto" w:sz="12" w:space="0"/>
              <w:right w:val="single" w:color="auto" w:sz="4" w:space="0"/>
            </w:tcBorders>
            <w:vAlign w:val="center"/>
          </w:tcPr>
          <w:p>
            <w:pPr>
              <w:jc w:val="center"/>
              <w:rPr>
                <w:b/>
                <w:color w:val="auto"/>
                <w:sz w:val="18"/>
                <w:szCs w:val="18"/>
                <w:shd w:val="clear" w:color="auto" w:fill="FFFFFF"/>
              </w:rPr>
            </w:pPr>
          </w:p>
        </w:tc>
        <w:tc>
          <w:tcPr>
            <w:tcW w:w="749"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计提</w:t>
            </w:r>
          </w:p>
        </w:tc>
        <w:tc>
          <w:tcPr>
            <w:tcW w:w="749"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收回或转回</w:t>
            </w:r>
          </w:p>
        </w:tc>
        <w:tc>
          <w:tcPr>
            <w:tcW w:w="749"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核销</w:t>
            </w:r>
          </w:p>
        </w:tc>
        <w:tc>
          <w:tcPr>
            <w:tcW w:w="832" w:type="pct"/>
            <w:vMerge w:val="continue"/>
            <w:tcBorders>
              <w:top w:val="single" w:color="auto" w:sz="8" w:space="0"/>
              <w:left w:val="single" w:color="auto" w:sz="4" w:space="0"/>
              <w:bottom w:val="single" w:color="auto" w:sz="12" w:space="0"/>
            </w:tcBorders>
            <w:vAlign w:val="center"/>
          </w:tcPr>
          <w:p>
            <w:pPr>
              <w:jc w:val="center"/>
              <w:rPr>
                <w:color w:val="auto"/>
                <w:sz w:val="18"/>
                <w:szCs w:val="18"/>
                <w:shd w:val="clear" w:color="auto" w:fill="FFFFFF"/>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1048" w:type="pct"/>
            <w:tcBorders>
              <w:top w:val="single" w:color="auto" w:sz="12" w:space="0"/>
              <w:bottom w:val="single" w:color="auto" w:sz="8" w:space="0"/>
              <w:right w:val="single" w:color="auto" w:sz="4" w:space="0"/>
            </w:tcBorders>
            <w:vAlign w:val="bottom"/>
          </w:tcPr>
          <w:p>
            <w:pPr>
              <w:ind w:firstLine="90" w:firstLineChars="50"/>
              <w:rPr>
                <w:color w:val="auto"/>
                <w:sz w:val="18"/>
                <w:szCs w:val="18"/>
                <w:shd w:val="clear" w:color="auto" w:fill="FFFFFF"/>
              </w:rPr>
            </w:pPr>
            <w:r>
              <w:rPr>
                <w:rFonts w:hint="eastAsia"/>
                <w:color w:val="auto"/>
                <w:sz w:val="18"/>
                <w:szCs w:val="18"/>
              </w:rPr>
              <w:t>应收票据</w:t>
            </w:r>
          </w:p>
        </w:tc>
        <w:tc>
          <w:tcPr>
            <w:tcW w:w="873" w:type="pct"/>
            <w:tcBorders>
              <w:top w:val="single" w:color="auto" w:sz="12" w:space="0"/>
              <w:left w:val="single" w:color="auto" w:sz="4" w:space="0"/>
              <w:bottom w:val="single" w:color="auto" w:sz="8" w:space="0"/>
              <w:right w:val="single" w:color="auto" w:sz="4" w:space="0"/>
            </w:tcBorders>
            <w:vAlign w:val="bottom"/>
          </w:tcPr>
          <w:p>
            <w:pPr>
              <w:jc w:val="right"/>
              <w:rPr>
                <w:rFonts w:ascii="宋体" w:hAnsi="宋体" w:cs="宋体"/>
                <w:color w:val="auto"/>
                <w:sz w:val="18"/>
                <w:szCs w:val="18"/>
              </w:rPr>
            </w:pPr>
          </w:p>
        </w:tc>
        <w:tc>
          <w:tcPr>
            <w:tcW w:w="749" w:type="pct"/>
            <w:tcBorders>
              <w:top w:val="single" w:color="auto" w:sz="12" w:space="0"/>
              <w:left w:val="single" w:color="auto" w:sz="4" w:space="0"/>
              <w:bottom w:val="single" w:color="auto" w:sz="8" w:space="0"/>
              <w:right w:val="single" w:color="auto" w:sz="4" w:space="0"/>
            </w:tcBorders>
            <w:vAlign w:val="bottom"/>
          </w:tcPr>
          <w:p>
            <w:pPr>
              <w:jc w:val="right"/>
              <w:rPr>
                <w:rFonts w:ascii="宋体" w:hAnsi="宋体" w:cs="宋体"/>
                <w:color w:val="auto"/>
                <w:sz w:val="18"/>
                <w:szCs w:val="18"/>
              </w:rPr>
            </w:pPr>
            <w:r>
              <w:rPr>
                <w:rFonts w:ascii="宋体" w:hAnsi="宋体" w:cs="宋体"/>
                <w:color w:val="auto"/>
                <w:kern w:val="0"/>
                <w:sz w:val="18"/>
                <w:szCs w:val="18"/>
              </w:rPr>
              <w:t>11,835.00</w:t>
            </w:r>
          </w:p>
        </w:tc>
        <w:tc>
          <w:tcPr>
            <w:tcW w:w="749" w:type="pct"/>
            <w:tcBorders>
              <w:top w:val="single" w:color="auto" w:sz="12" w:space="0"/>
              <w:left w:val="single" w:color="auto" w:sz="4" w:space="0"/>
              <w:bottom w:val="single" w:color="auto" w:sz="8" w:space="0"/>
              <w:right w:val="single" w:color="auto" w:sz="4" w:space="0"/>
            </w:tcBorders>
            <w:vAlign w:val="bottom"/>
          </w:tcPr>
          <w:p>
            <w:pPr>
              <w:jc w:val="right"/>
              <w:rPr>
                <w:rFonts w:ascii="宋体" w:hAnsi="宋体" w:cs="宋体"/>
                <w:color w:val="auto"/>
                <w:sz w:val="18"/>
                <w:szCs w:val="18"/>
              </w:rPr>
            </w:pPr>
          </w:p>
        </w:tc>
        <w:tc>
          <w:tcPr>
            <w:tcW w:w="749" w:type="pct"/>
            <w:tcBorders>
              <w:top w:val="single" w:color="auto" w:sz="12" w:space="0"/>
              <w:left w:val="single" w:color="auto" w:sz="4" w:space="0"/>
              <w:bottom w:val="single" w:color="auto" w:sz="8" w:space="0"/>
              <w:right w:val="single" w:color="auto" w:sz="4" w:space="0"/>
            </w:tcBorders>
            <w:vAlign w:val="bottom"/>
          </w:tcPr>
          <w:p>
            <w:pPr>
              <w:jc w:val="right"/>
              <w:rPr>
                <w:rFonts w:ascii="宋体" w:hAnsi="宋体" w:cs="宋体"/>
                <w:color w:val="auto"/>
                <w:sz w:val="18"/>
                <w:szCs w:val="18"/>
              </w:rPr>
            </w:pPr>
          </w:p>
        </w:tc>
        <w:tc>
          <w:tcPr>
            <w:tcW w:w="832" w:type="pct"/>
            <w:tcBorders>
              <w:top w:val="single" w:color="auto" w:sz="12" w:space="0"/>
              <w:left w:val="single" w:color="auto" w:sz="4" w:space="0"/>
              <w:bottom w:val="single" w:color="auto" w:sz="8" w:space="0"/>
            </w:tcBorders>
            <w:vAlign w:val="bottom"/>
          </w:tcPr>
          <w:p>
            <w:pPr>
              <w:jc w:val="right"/>
              <w:rPr>
                <w:rFonts w:ascii="宋体" w:hAnsi="宋体" w:cs="宋体"/>
                <w:color w:val="auto"/>
                <w:sz w:val="18"/>
                <w:szCs w:val="18"/>
              </w:rPr>
            </w:pPr>
            <w:r>
              <w:rPr>
                <w:rFonts w:ascii="宋体" w:hAnsi="宋体" w:cs="宋体"/>
                <w:color w:val="auto"/>
                <w:kern w:val="0"/>
                <w:sz w:val="18"/>
                <w:szCs w:val="18"/>
              </w:rPr>
              <w:t>11,835.00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1048" w:type="pct"/>
            <w:tcBorders>
              <w:top w:val="single" w:color="auto" w:sz="12" w:space="0"/>
              <w:bottom w:val="single" w:color="auto" w:sz="12" w:space="0"/>
              <w:right w:val="single" w:color="auto" w:sz="4" w:space="0"/>
            </w:tcBorders>
            <w:vAlign w:val="bottom"/>
          </w:tcPr>
          <w:p>
            <w:pPr>
              <w:jc w:val="center"/>
              <w:rPr>
                <w:b/>
                <w:color w:val="auto"/>
                <w:sz w:val="18"/>
                <w:szCs w:val="18"/>
                <w:shd w:val="clear" w:color="auto" w:fill="FFFFFF"/>
              </w:rPr>
            </w:pPr>
            <w:r>
              <w:rPr>
                <w:rFonts w:hint="eastAsia" w:ascii="宋体" w:hAnsi="宋体" w:cs="宋体"/>
                <w:b/>
                <w:bCs/>
                <w:color w:val="auto"/>
                <w:sz w:val="18"/>
                <w:szCs w:val="18"/>
              </w:rPr>
              <w:t>合计</w:t>
            </w:r>
          </w:p>
        </w:tc>
        <w:tc>
          <w:tcPr>
            <w:tcW w:w="873" w:type="pct"/>
            <w:tcBorders>
              <w:top w:val="single" w:color="auto" w:sz="12" w:space="0"/>
              <w:left w:val="single" w:color="auto" w:sz="4" w:space="0"/>
              <w:bottom w:val="single" w:color="auto" w:sz="12" w:space="0"/>
              <w:right w:val="single" w:color="auto" w:sz="4" w:space="0"/>
            </w:tcBorders>
            <w:vAlign w:val="bottom"/>
          </w:tcPr>
          <w:p>
            <w:pPr>
              <w:jc w:val="right"/>
              <w:rPr>
                <w:rFonts w:ascii="宋体" w:hAnsi="宋体" w:cs="宋体"/>
                <w:b/>
                <w:bCs/>
                <w:color w:val="auto"/>
                <w:sz w:val="18"/>
                <w:szCs w:val="18"/>
              </w:rPr>
            </w:pPr>
          </w:p>
        </w:tc>
        <w:tc>
          <w:tcPr>
            <w:tcW w:w="749" w:type="pct"/>
            <w:tcBorders>
              <w:top w:val="single" w:color="auto" w:sz="12" w:space="0"/>
              <w:left w:val="single" w:color="auto" w:sz="4" w:space="0"/>
              <w:bottom w:val="single" w:color="auto" w:sz="12" w:space="0"/>
              <w:right w:val="single" w:color="auto" w:sz="4" w:space="0"/>
            </w:tcBorders>
            <w:vAlign w:val="bottom"/>
          </w:tcPr>
          <w:p>
            <w:pPr>
              <w:jc w:val="right"/>
              <w:rPr>
                <w:rFonts w:ascii="宋体" w:hAnsi="宋体" w:cs="宋体"/>
                <w:b/>
                <w:bCs/>
                <w:color w:val="auto"/>
                <w:sz w:val="18"/>
                <w:szCs w:val="18"/>
              </w:rPr>
            </w:pPr>
            <w:r>
              <w:rPr>
                <w:rFonts w:ascii="宋体" w:hAnsi="宋体" w:cs="宋体"/>
                <w:b/>
                <w:bCs/>
                <w:color w:val="auto"/>
                <w:kern w:val="0"/>
                <w:sz w:val="18"/>
                <w:szCs w:val="18"/>
              </w:rPr>
              <w:t>11,835.00</w:t>
            </w:r>
          </w:p>
        </w:tc>
        <w:tc>
          <w:tcPr>
            <w:tcW w:w="749" w:type="pct"/>
            <w:tcBorders>
              <w:top w:val="single" w:color="auto" w:sz="12" w:space="0"/>
              <w:left w:val="single" w:color="auto" w:sz="4" w:space="0"/>
              <w:bottom w:val="single" w:color="auto" w:sz="12" w:space="0"/>
              <w:right w:val="single" w:color="auto" w:sz="4" w:space="0"/>
            </w:tcBorders>
            <w:vAlign w:val="bottom"/>
          </w:tcPr>
          <w:p>
            <w:pPr>
              <w:jc w:val="right"/>
              <w:rPr>
                <w:rFonts w:ascii="宋体" w:hAnsi="宋体" w:cs="宋体"/>
                <w:b/>
                <w:bCs/>
                <w:color w:val="auto"/>
                <w:sz w:val="18"/>
                <w:szCs w:val="18"/>
              </w:rPr>
            </w:pPr>
          </w:p>
        </w:tc>
        <w:tc>
          <w:tcPr>
            <w:tcW w:w="749" w:type="pct"/>
            <w:tcBorders>
              <w:top w:val="single" w:color="auto" w:sz="12" w:space="0"/>
              <w:left w:val="single" w:color="auto" w:sz="4" w:space="0"/>
              <w:bottom w:val="single" w:color="auto" w:sz="12" w:space="0"/>
              <w:right w:val="single" w:color="auto" w:sz="4" w:space="0"/>
            </w:tcBorders>
            <w:vAlign w:val="bottom"/>
          </w:tcPr>
          <w:p>
            <w:pPr>
              <w:jc w:val="right"/>
              <w:rPr>
                <w:rFonts w:ascii="宋体" w:hAnsi="宋体" w:cs="宋体"/>
                <w:b/>
                <w:bCs/>
                <w:color w:val="auto"/>
                <w:sz w:val="18"/>
                <w:szCs w:val="18"/>
              </w:rPr>
            </w:pPr>
          </w:p>
        </w:tc>
        <w:tc>
          <w:tcPr>
            <w:tcW w:w="832" w:type="pct"/>
            <w:tcBorders>
              <w:top w:val="single" w:color="auto" w:sz="12" w:space="0"/>
              <w:left w:val="single" w:color="auto" w:sz="4" w:space="0"/>
              <w:bottom w:val="single" w:color="auto" w:sz="12" w:space="0"/>
            </w:tcBorders>
            <w:vAlign w:val="bottom"/>
          </w:tcPr>
          <w:p>
            <w:pPr>
              <w:jc w:val="right"/>
              <w:rPr>
                <w:rFonts w:ascii="宋体" w:hAnsi="宋体" w:cs="宋体"/>
                <w:b/>
                <w:bCs/>
                <w:color w:val="auto"/>
                <w:sz w:val="18"/>
                <w:szCs w:val="18"/>
              </w:rPr>
            </w:pPr>
            <w:r>
              <w:rPr>
                <w:rFonts w:ascii="宋体" w:hAnsi="宋体" w:cs="宋体"/>
                <w:b/>
                <w:bCs/>
                <w:color w:val="auto"/>
                <w:kern w:val="0"/>
                <w:sz w:val="18"/>
                <w:szCs w:val="18"/>
              </w:rPr>
              <w:t>11,835.00</w:t>
            </w:r>
          </w:p>
        </w:tc>
      </w:tr>
    </w:tbl>
    <w:p>
      <w:pPr>
        <w:spacing w:before="150" w:beforeLines="50" w:after="150" w:afterLines="50" w:line="360" w:lineRule="auto"/>
        <w:ind w:firstLine="420" w:firstLineChars="200"/>
        <w:rPr>
          <w:rFonts w:ascii="宋体" w:hAnsi="宋体" w:cs="宋体"/>
          <w:color w:val="auto"/>
        </w:rPr>
      </w:pPr>
      <w:r>
        <w:rPr>
          <w:rFonts w:hint="eastAsia" w:ascii="宋体" w:hAnsi="宋体" w:cs="宋体"/>
          <w:color w:val="auto"/>
        </w:rPr>
        <w:t>（3）期末公司无已背书或贴现且在资产负债表日尚未到期的应收票据。</w:t>
      </w:r>
    </w:p>
    <w:p>
      <w:pPr>
        <w:spacing w:before="150" w:beforeLines="50" w:line="360" w:lineRule="auto"/>
        <w:ind w:firstLine="420" w:firstLineChars="200"/>
        <w:rPr>
          <w:rFonts w:ascii="宋体" w:hAnsi="宋体" w:cs="宋体"/>
          <w:color w:val="auto"/>
        </w:rPr>
      </w:pPr>
      <w:r>
        <w:rPr>
          <w:rFonts w:hint="eastAsia" w:ascii="宋体" w:hAnsi="宋体" w:cs="宋体"/>
          <w:color w:val="auto"/>
        </w:rPr>
        <w:t>（4）期末应收票据不存在质押情况。</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4、应收账款</w:t>
      </w:r>
    </w:p>
    <w:p>
      <w:pPr>
        <w:tabs>
          <w:tab w:val="left" w:pos="2398"/>
        </w:tabs>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（1）应收账款分类披露：</w:t>
      </w:r>
    </w:p>
    <w:tbl>
      <w:tblPr>
        <w:tblStyle w:val="9"/>
        <w:tblW w:w="9038"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Layout w:type="fixed"/>
        <w:tblCellMar>
          <w:top w:w="0" w:type="dxa"/>
          <w:left w:w="107" w:type="dxa"/>
          <w:bottom w:w="0" w:type="dxa"/>
          <w:right w:w="107" w:type="dxa"/>
        </w:tblCellMar>
      </w:tblPr>
      <w:tblGrid>
        <w:gridCol w:w="2234"/>
        <w:gridCol w:w="1559"/>
        <w:gridCol w:w="992"/>
        <w:gridCol w:w="1418"/>
        <w:gridCol w:w="1275"/>
        <w:gridCol w:w="1560"/>
      </w:tblGrid>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vMerge w:val="restart"/>
            <w:tcBorders>
              <w:top w:val="single" w:color="000000"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类</w:t>
            </w:r>
            <w:r>
              <w:rPr>
                <w:rFonts w:ascii="宋体" w:hAnsi="宋体" w:cs="宋体"/>
                <w:b/>
                <w:bCs/>
                <w:color w:val="auto"/>
                <w:sz w:val="18"/>
                <w:szCs w:val="18"/>
              </w:rPr>
              <w:t>别</w:t>
            </w:r>
          </w:p>
        </w:tc>
        <w:tc>
          <w:tcPr>
            <w:tcW w:w="6804" w:type="dxa"/>
            <w:gridSpan w:val="5"/>
            <w:tcBorders>
              <w:top w:val="single" w:color="auto" w:sz="12" w:space="0"/>
              <w:left w:val="single" w:color="000000" w:sz="4" w:space="0"/>
              <w:bottom w:val="single" w:color="auto"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期末余额</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vMerge w:val="continue"/>
            <w:tcBorders>
              <w:right w:val="single" w:color="000000" w:sz="4" w:space="0"/>
            </w:tcBorders>
            <w:vAlign w:val="center"/>
          </w:tcPr>
          <w:p>
            <w:pPr>
              <w:jc w:val="center"/>
              <w:rPr>
                <w:rFonts w:ascii="宋体" w:hAnsi="宋体" w:cs="宋体"/>
                <w:b/>
                <w:bCs/>
                <w:color w:val="auto"/>
                <w:sz w:val="18"/>
                <w:szCs w:val="18"/>
              </w:rPr>
            </w:pPr>
          </w:p>
        </w:tc>
        <w:tc>
          <w:tcPr>
            <w:tcW w:w="2551"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账面余额</w:t>
            </w:r>
          </w:p>
        </w:tc>
        <w:tc>
          <w:tcPr>
            <w:tcW w:w="2693"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坏账准备</w:t>
            </w:r>
          </w:p>
        </w:tc>
        <w:tc>
          <w:tcPr>
            <w:tcW w:w="1560" w:type="dxa"/>
            <w:vMerge w:val="restart"/>
            <w:tcBorders>
              <w:top w:val="single" w:color="auto" w:sz="4" w:space="0"/>
              <w:lef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账面价值</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vMerge w:val="continue"/>
            <w:tcBorders>
              <w:bottom w:val="single" w:color="auto" w:sz="12" w:space="0"/>
              <w:right w:val="single" w:color="000000" w:sz="4" w:space="0"/>
            </w:tcBorders>
            <w:vAlign w:val="center"/>
          </w:tcPr>
          <w:p>
            <w:pPr>
              <w:jc w:val="center"/>
              <w:rPr>
                <w:rFonts w:ascii="宋体" w:hAnsi="宋体" w:cs="宋体"/>
                <w:b/>
                <w:bCs/>
                <w:color w:val="auto"/>
                <w:sz w:val="18"/>
                <w:szCs w:val="18"/>
              </w:rPr>
            </w:pPr>
          </w:p>
        </w:tc>
        <w:tc>
          <w:tcPr>
            <w:tcW w:w="1559" w:type="dxa"/>
            <w:tcBorders>
              <w:top w:val="single" w:color="auto" w:sz="4" w:space="0"/>
              <w:left w:val="single" w:color="000000" w:sz="4" w:space="0"/>
              <w:bottom w:val="single" w:color="auto"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金额</w:t>
            </w:r>
          </w:p>
        </w:tc>
        <w:tc>
          <w:tcPr>
            <w:tcW w:w="992" w:type="dxa"/>
            <w:tcBorders>
              <w:top w:val="single" w:color="auto" w:sz="4" w:space="0"/>
              <w:left w:val="single" w:color="000000" w:sz="4" w:space="0"/>
              <w:bottom w:val="single" w:color="auto"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比例（</w:t>
            </w:r>
            <w:r>
              <w:rPr>
                <w:rFonts w:ascii="宋体" w:hAnsi="宋体" w:cs="宋体"/>
                <w:b/>
                <w:bCs/>
                <w:color w:val="auto"/>
                <w:sz w:val="18"/>
                <w:szCs w:val="18"/>
              </w:rPr>
              <w:t>%）</w:t>
            </w:r>
          </w:p>
        </w:tc>
        <w:tc>
          <w:tcPr>
            <w:tcW w:w="1418" w:type="dxa"/>
            <w:tcBorders>
              <w:top w:val="single" w:color="auto" w:sz="4" w:space="0"/>
              <w:left w:val="single" w:color="000000" w:sz="4" w:space="0"/>
              <w:bottom w:val="single" w:color="auto"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金额</w:t>
            </w:r>
          </w:p>
        </w:tc>
        <w:tc>
          <w:tcPr>
            <w:tcW w:w="1275" w:type="dxa"/>
            <w:tcBorders>
              <w:top w:val="single" w:color="auto" w:sz="4" w:space="0"/>
              <w:left w:val="single" w:color="000000" w:sz="4" w:space="0"/>
              <w:bottom w:val="single" w:color="auto"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计提比例（</w:t>
            </w:r>
            <w:r>
              <w:rPr>
                <w:rFonts w:ascii="宋体" w:hAnsi="宋体" w:cs="宋体"/>
                <w:b/>
                <w:bCs/>
                <w:color w:val="auto"/>
                <w:sz w:val="18"/>
                <w:szCs w:val="18"/>
              </w:rPr>
              <w:t>%）</w:t>
            </w:r>
          </w:p>
        </w:tc>
        <w:tc>
          <w:tcPr>
            <w:tcW w:w="1560" w:type="dxa"/>
            <w:vMerge w:val="continue"/>
            <w:tcBorders>
              <w:left w:val="single" w:color="000000" w:sz="4" w:space="0"/>
              <w:bottom w:val="single" w:color="auto" w:sz="12" w:space="0"/>
            </w:tcBorders>
          </w:tcPr>
          <w:p>
            <w:pPr>
              <w:spacing w:line="360" w:lineRule="auto"/>
              <w:jc w:val="center"/>
              <w:rPr>
                <w:rFonts w:ascii="宋体" w:hAnsi="宋体" w:cs="宋体"/>
                <w:b/>
                <w:bCs/>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234" w:type="dxa"/>
            <w:tcBorders>
              <w:top w:val="single" w:color="auto" w:sz="12" w:space="0"/>
              <w:bottom w:val="single" w:color="auto" w:sz="4" w:space="0"/>
              <w:right w:val="single" w:color="000000" w:sz="4" w:space="0"/>
            </w:tcBorders>
            <w:vAlign w:val="bottom"/>
          </w:tcPr>
          <w:p>
            <w:pPr>
              <w:rPr>
                <w:rFonts w:ascii="宋体"/>
                <w:color w:val="auto"/>
                <w:spacing w:val="-12"/>
                <w:sz w:val="18"/>
                <w:szCs w:val="18"/>
              </w:rPr>
            </w:pPr>
            <w:r>
              <w:rPr>
                <w:rFonts w:hint="eastAsia" w:ascii="宋体" w:hAnsi="宋体"/>
                <w:color w:val="auto"/>
                <w:sz w:val="18"/>
                <w:szCs w:val="18"/>
              </w:rPr>
              <w:t>按单项计提坏账准备的应收账款</w:t>
            </w:r>
          </w:p>
        </w:tc>
        <w:tc>
          <w:tcPr>
            <w:tcW w:w="1559" w:type="dxa"/>
            <w:tcBorders>
              <w:top w:val="single" w:color="auto" w:sz="12" w:space="0"/>
              <w:left w:val="single" w:color="000000" w:sz="4" w:space="0"/>
              <w:bottom w:val="single" w:color="auto" w:sz="4" w:space="0"/>
              <w:right w:val="single" w:color="000000" w:sz="4"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110,903.49 </w:t>
            </w:r>
          </w:p>
        </w:tc>
        <w:tc>
          <w:tcPr>
            <w:tcW w:w="992" w:type="dxa"/>
            <w:tcBorders>
              <w:top w:val="single" w:color="auto" w:sz="12" w:space="0"/>
              <w:left w:val="single" w:color="000000" w:sz="4" w:space="0"/>
              <w:bottom w:val="single" w:color="auto" w:sz="4" w:space="0"/>
              <w:right w:val="single" w:color="000000" w:sz="4"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0.13 </w:t>
            </w:r>
          </w:p>
        </w:tc>
        <w:tc>
          <w:tcPr>
            <w:tcW w:w="1418" w:type="dxa"/>
            <w:tcBorders>
              <w:top w:val="single" w:color="auto" w:sz="12" w:space="0"/>
              <w:left w:val="single" w:color="000000" w:sz="4" w:space="0"/>
              <w:bottom w:val="single" w:color="auto" w:sz="4" w:space="0"/>
              <w:right w:val="single" w:color="000000" w:sz="4"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110,903.49 </w:t>
            </w:r>
          </w:p>
        </w:tc>
        <w:tc>
          <w:tcPr>
            <w:tcW w:w="1275" w:type="dxa"/>
            <w:tcBorders>
              <w:top w:val="single" w:color="auto" w:sz="12" w:space="0"/>
              <w:left w:val="single" w:color="000000" w:sz="4" w:space="0"/>
              <w:bottom w:val="single" w:color="auto" w:sz="4" w:space="0"/>
              <w:right w:val="single" w:color="000000" w:sz="4" w:space="0"/>
            </w:tcBorders>
            <w:vAlign w:val="bottom"/>
          </w:tcPr>
          <w:p>
            <w:pPr>
              <w:jc w:val="right"/>
              <w:rPr>
                <w:rFonts w:ascii="宋体" w:hAnsi="宋体" w:cs="宋体"/>
                <w:color w:val="auto"/>
                <w:sz w:val="18"/>
                <w:szCs w:val="18"/>
              </w:rPr>
            </w:pPr>
            <w:r>
              <w:rPr>
                <w:rFonts w:hint="eastAsia" w:ascii="宋体" w:hAnsi="宋体"/>
                <w:color w:val="auto"/>
                <w:sz w:val="18"/>
                <w:szCs w:val="18"/>
              </w:rPr>
              <w:t>100.00</w:t>
            </w:r>
          </w:p>
        </w:tc>
        <w:tc>
          <w:tcPr>
            <w:tcW w:w="1560" w:type="dxa"/>
            <w:tcBorders>
              <w:top w:val="single" w:color="auto" w:sz="12" w:space="0"/>
              <w:left w:val="single" w:color="000000" w:sz="4" w:space="0"/>
              <w:bottom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tcBorders>
              <w:top w:val="single" w:color="auto" w:sz="4" w:space="0"/>
              <w:bottom w:val="single" w:color="auto" w:sz="4" w:space="0"/>
              <w:right w:val="single" w:color="000000" w:sz="4" w:space="0"/>
            </w:tcBorders>
            <w:vAlign w:val="bottom"/>
          </w:tcPr>
          <w:p>
            <w:pPr>
              <w:rPr>
                <w:rFonts w:ascii="宋体"/>
                <w:color w:val="auto"/>
                <w:kern w:val="0"/>
                <w:sz w:val="18"/>
                <w:szCs w:val="18"/>
              </w:rPr>
            </w:pPr>
            <w:r>
              <w:rPr>
                <w:rFonts w:hint="eastAsia" w:ascii="宋体" w:hAnsi="宋体"/>
                <w:color w:val="auto"/>
                <w:sz w:val="18"/>
                <w:szCs w:val="18"/>
              </w:rPr>
              <w:t>按组合计提坏账准备的应收账款</w:t>
            </w:r>
          </w:p>
        </w:tc>
        <w:tc>
          <w:tcPr>
            <w:tcW w:w="1559" w:type="dxa"/>
            <w:tcBorders>
              <w:top w:val="single" w:color="auto" w:sz="4" w:space="0"/>
              <w:left w:val="single" w:color="000000" w:sz="4" w:space="0"/>
              <w:bottom w:val="single" w:color="auto" w:sz="4" w:space="0"/>
              <w:right w:val="single" w:color="000000" w:sz="4"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87,904,025.70 </w:t>
            </w:r>
          </w:p>
        </w:tc>
        <w:tc>
          <w:tcPr>
            <w:tcW w:w="992" w:type="dxa"/>
            <w:tcBorders>
              <w:top w:val="single" w:color="auto" w:sz="4" w:space="0"/>
              <w:left w:val="single" w:color="000000" w:sz="4" w:space="0"/>
              <w:bottom w:val="single" w:color="auto" w:sz="4" w:space="0"/>
              <w:right w:val="single" w:color="000000" w:sz="4"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99.87 </w:t>
            </w:r>
          </w:p>
        </w:tc>
        <w:tc>
          <w:tcPr>
            <w:tcW w:w="1418" w:type="dxa"/>
            <w:tcBorders>
              <w:top w:val="single" w:color="auto" w:sz="4" w:space="0"/>
              <w:left w:val="single" w:color="000000" w:sz="4" w:space="0"/>
              <w:bottom w:val="single" w:color="auto" w:sz="4" w:space="0"/>
              <w:right w:val="single" w:color="000000" w:sz="4"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8,245,874.23 </w:t>
            </w:r>
          </w:p>
        </w:tc>
        <w:tc>
          <w:tcPr>
            <w:tcW w:w="1275" w:type="dxa"/>
            <w:tcBorders>
              <w:top w:val="single" w:color="auto" w:sz="4" w:space="0"/>
              <w:left w:val="single" w:color="000000" w:sz="4" w:space="0"/>
              <w:bottom w:val="single" w:color="auto" w:sz="4" w:space="0"/>
              <w:right w:val="single" w:color="000000" w:sz="4" w:space="0"/>
            </w:tcBorders>
            <w:vAlign w:val="bottom"/>
          </w:tcPr>
          <w:p>
            <w:pPr>
              <w:jc w:val="right"/>
              <w:rPr>
                <w:rFonts w:ascii="宋体" w:hAnsi="宋体" w:cs="宋体"/>
                <w:color w:val="auto"/>
                <w:sz w:val="18"/>
                <w:szCs w:val="18"/>
              </w:rPr>
            </w:pPr>
            <w:r>
              <w:rPr>
                <w:rFonts w:hint="eastAsia" w:ascii="宋体" w:hAnsi="宋体"/>
                <w:color w:val="auto"/>
                <w:sz w:val="18"/>
                <w:szCs w:val="18"/>
              </w:rPr>
              <w:t>9.38</w:t>
            </w:r>
          </w:p>
        </w:tc>
        <w:tc>
          <w:tcPr>
            <w:tcW w:w="1560" w:type="dxa"/>
            <w:tcBorders>
              <w:top w:val="single" w:color="auto" w:sz="4" w:space="0"/>
              <w:left w:val="single" w:color="000000" w:sz="4" w:space="0"/>
              <w:bottom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79,658,151.47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tcBorders>
              <w:top w:val="single" w:color="auto" w:sz="12" w:space="0"/>
              <w:bottom w:val="single" w:color="000000" w:sz="12" w:space="0"/>
              <w:right w:val="single" w:color="000000" w:sz="4" w:space="0"/>
            </w:tcBorders>
            <w:vAlign w:val="bottom"/>
          </w:tcPr>
          <w:p>
            <w:pPr>
              <w:jc w:val="center"/>
              <w:rPr>
                <w:rFonts w:ascii="宋体"/>
                <w:b/>
                <w:bCs/>
                <w:color w:val="auto"/>
                <w:sz w:val="18"/>
                <w:szCs w:val="18"/>
              </w:rPr>
            </w:pPr>
            <w:r>
              <w:rPr>
                <w:rFonts w:hint="eastAsia" w:ascii="宋体" w:hAnsi="宋体" w:cs="宋体"/>
                <w:b/>
                <w:bCs/>
                <w:color w:val="auto"/>
                <w:sz w:val="18"/>
                <w:szCs w:val="18"/>
              </w:rPr>
              <w:t>合计</w:t>
            </w:r>
          </w:p>
        </w:tc>
        <w:tc>
          <w:tcPr>
            <w:tcW w:w="1559" w:type="dxa"/>
            <w:tcBorders>
              <w:top w:val="single" w:color="auto" w:sz="12" w:space="0"/>
              <w:left w:val="single" w:color="000000" w:sz="4" w:space="0"/>
              <w:bottom w:val="single" w:color="000000" w:sz="12" w:space="0"/>
              <w:right w:val="single" w:color="000000" w:sz="4" w:space="0"/>
            </w:tcBorders>
            <w:vAlign w:val="bottom"/>
          </w:tcPr>
          <w:p>
            <w:pPr>
              <w:jc w:val="right"/>
              <w:rPr>
                <w:rFonts w:ascii="宋体" w:hAnsi="宋体" w:cs="宋体"/>
                <w:b/>
                <w:bCs/>
                <w:color w:val="auto"/>
                <w:sz w:val="18"/>
                <w:szCs w:val="18"/>
              </w:rPr>
            </w:pPr>
            <w:r>
              <w:rPr>
                <w:rFonts w:hint="eastAsia" w:ascii="宋体" w:hAnsi="宋体"/>
                <w:b/>
                <w:bCs/>
                <w:color w:val="auto"/>
                <w:sz w:val="18"/>
                <w:szCs w:val="18"/>
              </w:rPr>
              <w:t xml:space="preserve">88,014,929.19 </w:t>
            </w:r>
          </w:p>
        </w:tc>
        <w:tc>
          <w:tcPr>
            <w:tcW w:w="992" w:type="dxa"/>
            <w:tcBorders>
              <w:top w:val="single" w:color="auto" w:sz="12" w:space="0"/>
              <w:left w:val="single" w:color="000000" w:sz="4" w:space="0"/>
              <w:bottom w:val="single" w:color="000000" w:sz="12" w:space="0"/>
              <w:right w:val="single" w:color="000000" w:sz="4" w:space="0"/>
            </w:tcBorders>
            <w:vAlign w:val="bottom"/>
          </w:tcPr>
          <w:p>
            <w:pPr>
              <w:jc w:val="right"/>
              <w:rPr>
                <w:rFonts w:ascii="宋体" w:hAnsi="宋体" w:cs="宋体"/>
                <w:b/>
                <w:bCs/>
                <w:color w:val="auto"/>
                <w:sz w:val="18"/>
                <w:szCs w:val="18"/>
              </w:rPr>
            </w:pPr>
            <w:r>
              <w:rPr>
                <w:rFonts w:hint="eastAsia" w:ascii="宋体" w:hAnsi="宋体"/>
                <w:b/>
                <w:bCs/>
                <w:color w:val="auto"/>
                <w:sz w:val="18"/>
                <w:szCs w:val="18"/>
              </w:rPr>
              <w:t xml:space="preserve">100.00 </w:t>
            </w:r>
          </w:p>
        </w:tc>
        <w:tc>
          <w:tcPr>
            <w:tcW w:w="1418" w:type="dxa"/>
            <w:tcBorders>
              <w:top w:val="single" w:color="auto" w:sz="12" w:space="0"/>
              <w:left w:val="single" w:color="000000" w:sz="4" w:space="0"/>
              <w:bottom w:val="single" w:color="000000" w:sz="12" w:space="0"/>
              <w:right w:val="single" w:color="000000" w:sz="4" w:space="0"/>
            </w:tcBorders>
            <w:vAlign w:val="bottom"/>
          </w:tcPr>
          <w:p>
            <w:pPr>
              <w:jc w:val="right"/>
              <w:rPr>
                <w:rFonts w:ascii="宋体" w:hAnsi="宋体" w:cs="宋体"/>
                <w:b/>
                <w:bCs/>
                <w:color w:val="auto"/>
                <w:sz w:val="18"/>
                <w:szCs w:val="18"/>
              </w:rPr>
            </w:pPr>
            <w:r>
              <w:rPr>
                <w:rFonts w:hint="eastAsia" w:ascii="宋体" w:hAnsi="宋体"/>
                <w:b/>
                <w:bCs/>
                <w:color w:val="auto"/>
                <w:sz w:val="18"/>
                <w:szCs w:val="18"/>
              </w:rPr>
              <w:t xml:space="preserve">8,356,777.72 </w:t>
            </w:r>
          </w:p>
        </w:tc>
        <w:tc>
          <w:tcPr>
            <w:tcW w:w="1275" w:type="dxa"/>
            <w:tcBorders>
              <w:top w:val="single" w:color="auto" w:sz="12" w:space="0"/>
              <w:left w:val="single" w:color="000000" w:sz="4" w:space="0"/>
              <w:bottom w:val="single" w:color="000000" w:sz="12" w:space="0"/>
              <w:right w:val="single" w:color="000000" w:sz="4" w:space="0"/>
            </w:tcBorders>
            <w:vAlign w:val="bottom"/>
          </w:tcPr>
          <w:p>
            <w:pPr>
              <w:jc w:val="right"/>
              <w:rPr>
                <w:rFonts w:ascii="宋体" w:hAnsi="宋体" w:cs="宋体"/>
                <w:b/>
                <w:bCs/>
                <w:color w:val="auto"/>
                <w:sz w:val="18"/>
                <w:szCs w:val="18"/>
              </w:rPr>
            </w:pPr>
            <w:r>
              <w:rPr>
                <w:rFonts w:hint="eastAsia" w:ascii="宋体" w:hAnsi="宋体"/>
                <w:b/>
                <w:bCs/>
                <w:color w:val="auto"/>
                <w:sz w:val="18"/>
                <w:szCs w:val="18"/>
              </w:rPr>
              <w:t>9.49</w:t>
            </w:r>
          </w:p>
        </w:tc>
        <w:tc>
          <w:tcPr>
            <w:tcW w:w="1560" w:type="dxa"/>
            <w:tcBorders>
              <w:top w:val="single" w:color="auto" w:sz="12" w:space="0"/>
              <w:left w:val="single" w:color="000000" w:sz="4" w:space="0"/>
              <w:bottom w:val="single" w:color="000000" w:sz="12" w:space="0"/>
            </w:tcBorders>
            <w:vAlign w:val="bottom"/>
          </w:tcPr>
          <w:p>
            <w:pPr>
              <w:jc w:val="right"/>
              <w:rPr>
                <w:rFonts w:ascii="宋体" w:hAnsi="宋体" w:cs="宋体"/>
                <w:b/>
                <w:bCs/>
                <w:color w:val="auto"/>
                <w:sz w:val="18"/>
                <w:szCs w:val="18"/>
              </w:rPr>
            </w:pPr>
            <w:r>
              <w:rPr>
                <w:rFonts w:hint="eastAsia" w:ascii="宋体" w:hAnsi="宋体"/>
                <w:b/>
                <w:bCs/>
                <w:color w:val="auto"/>
                <w:sz w:val="18"/>
                <w:szCs w:val="18"/>
              </w:rPr>
              <w:t xml:space="preserve">79,658,151.47 </w:t>
            </w:r>
          </w:p>
        </w:tc>
      </w:tr>
    </w:tbl>
    <w:p>
      <w:pPr>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（续）</w:t>
      </w:r>
    </w:p>
    <w:tbl>
      <w:tblPr>
        <w:tblStyle w:val="9"/>
        <w:tblW w:w="9038"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Layout w:type="fixed"/>
        <w:tblCellMar>
          <w:top w:w="0" w:type="dxa"/>
          <w:left w:w="107" w:type="dxa"/>
          <w:bottom w:w="0" w:type="dxa"/>
          <w:right w:w="107" w:type="dxa"/>
        </w:tblCellMar>
      </w:tblPr>
      <w:tblGrid>
        <w:gridCol w:w="2234"/>
        <w:gridCol w:w="1559"/>
        <w:gridCol w:w="992"/>
        <w:gridCol w:w="1418"/>
        <w:gridCol w:w="1275"/>
        <w:gridCol w:w="1560"/>
      </w:tblGrid>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vMerge w:val="restart"/>
            <w:tcBorders>
              <w:top w:val="single" w:color="000000"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类</w:t>
            </w:r>
            <w:r>
              <w:rPr>
                <w:rFonts w:ascii="宋体" w:hAnsi="宋体" w:cs="宋体"/>
                <w:b/>
                <w:bCs/>
                <w:color w:val="auto"/>
                <w:sz w:val="18"/>
                <w:szCs w:val="18"/>
              </w:rPr>
              <w:t>别</w:t>
            </w:r>
          </w:p>
        </w:tc>
        <w:tc>
          <w:tcPr>
            <w:tcW w:w="6804" w:type="dxa"/>
            <w:gridSpan w:val="5"/>
            <w:tcBorders>
              <w:top w:val="single" w:color="auto" w:sz="12" w:space="0"/>
              <w:left w:val="single" w:color="000000" w:sz="4" w:space="0"/>
              <w:bottom w:val="single" w:color="auto"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期初余额</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vMerge w:val="continue"/>
            <w:tcBorders>
              <w:right w:val="single" w:color="000000" w:sz="4" w:space="0"/>
            </w:tcBorders>
            <w:vAlign w:val="center"/>
          </w:tcPr>
          <w:p>
            <w:pPr>
              <w:jc w:val="center"/>
              <w:rPr>
                <w:rFonts w:ascii="宋体" w:hAnsi="宋体" w:cs="宋体"/>
                <w:b/>
                <w:bCs/>
                <w:color w:val="auto"/>
                <w:sz w:val="18"/>
                <w:szCs w:val="18"/>
              </w:rPr>
            </w:pPr>
          </w:p>
        </w:tc>
        <w:tc>
          <w:tcPr>
            <w:tcW w:w="2551"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账面余额</w:t>
            </w:r>
          </w:p>
        </w:tc>
        <w:tc>
          <w:tcPr>
            <w:tcW w:w="2693"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坏账准备</w:t>
            </w:r>
          </w:p>
        </w:tc>
        <w:tc>
          <w:tcPr>
            <w:tcW w:w="1560" w:type="dxa"/>
            <w:vMerge w:val="restart"/>
            <w:tcBorders>
              <w:top w:val="single" w:color="auto" w:sz="4" w:space="0"/>
              <w:lef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账面价值</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vMerge w:val="continue"/>
            <w:tcBorders>
              <w:bottom w:val="single" w:color="auto" w:sz="12" w:space="0"/>
              <w:right w:val="single" w:color="000000" w:sz="4" w:space="0"/>
            </w:tcBorders>
            <w:vAlign w:val="center"/>
          </w:tcPr>
          <w:p>
            <w:pPr>
              <w:jc w:val="center"/>
              <w:rPr>
                <w:rFonts w:ascii="宋体" w:hAnsi="宋体" w:cs="宋体"/>
                <w:b/>
                <w:bCs/>
                <w:color w:val="auto"/>
                <w:sz w:val="18"/>
                <w:szCs w:val="18"/>
              </w:rPr>
            </w:pPr>
          </w:p>
        </w:tc>
        <w:tc>
          <w:tcPr>
            <w:tcW w:w="1559" w:type="dxa"/>
            <w:tcBorders>
              <w:top w:val="single" w:color="auto" w:sz="4" w:space="0"/>
              <w:left w:val="single" w:color="000000" w:sz="4" w:space="0"/>
              <w:bottom w:val="single" w:color="auto"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金额</w:t>
            </w:r>
          </w:p>
        </w:tc>
        <w:tc>
          <w:tcPr>
            <w:tcW w:w="992" w:type="dxa"/>
            <w:tcBorders>
              <w:top w:val="single" w:color="auto" w:sz="4" w:space="0"/>
              <w:left w:val="single" w:color="000000" w:sz="4" w:space="0"/>
              <w:bottom w:val="single" w:color="auto"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比例（</w:t>
            </w:r>
            <w:r>
              <w:rPr>
                <w:rFonts w:ascii="宋体" w:hAnsi="宋体" w:cs="宋体"/>
                <w:b/>
                <w:bCs/>
                <w:color w:val="auto"/>
                <w:sz w:val="18"/>
                <w:szCs w:val="18"/>
              </w:rPr>
              <w:t>%）</w:t>
            </w:r>
          </w:p>
        </w:tc>
        <w:tc>
          <w:tcPr>
            <w:tcW w:w="1418" w:type="dxa"/>
            <w:tcBorders>
              <w:top w:val="single" w:color="auto" w:sz="4" w:space="0"/>
              <w:left w:val="single" w:color="000000" w:sz="4" w:space="0"/>
              <w:bottom w:val="single" w:color="auto"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金额</w:t>
            </w:r>
          </w:p>
        </w:tc>
        <w:tc>
          <w:tcPr>
            <w:tcW w:w="1275" w:type="dxa"/>
            <w:tcBorders>
              <w:top w:val="single" w:color="auto" w:sz="4" w:space="0"/>
              <w:left w:val="single" w:color="000000" w:sz="4" w:space="0"/>
              <w:bottom w:val="single" w:color="auto"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计提比例（</w:t>
            </w:r>
            <w:r>
              <w:rPr>
                <w:rFonts w:ascii="宋体" w:hAnsi="宋体" w:cs="宋体"/>
                <w:b/>
                <w:bCs/>
                <w:color w:val="auto"/>
                <w:sz w:val="18"/>
                <w:szCs w:val="18"/>
              </w:rPr>
              <w:t>%）</w:t>
            </w:r>
          </w:p>
        </w:tc>
        <w:tc>
          <w:tcPr>
            <w:tcW w:w="1560" w:type="dxa"/>
            <w:vMerge w:val="continue"/>
            <w:tcBorders>
              <w:left w:val="single" w:color="000000" w:sz="4" w:space="0"/>
              <w:bottom w:val="single" w:color="auto" w:sz="12" w:space="0"/>
            </w:tcBorders>
          </w:tcPr>
          <w:p>
            <w:pPr>
              <w:spacing w:line="360" w:lineRule="auto"/>
              <w:jc w:val="center"/>
              <w:rPr>
                <w:rFonts w:ascii="宋体" w:hAnsi="宋体" w:cs="宋体"/>
                <w:b/>
                <w:bCs/>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234" w:type="dxa"/>
            <w:tcBorders>
              <w:top w:val="single" w:color="auto" w:sz="12" w:space="0"/>
              <w:bottom w:val="single" w:color="auto" w:sz="4" w:space="0"/>
              <w:right w:val="single" w:color="000000" w:sz="4" w:space="0"/>
            </w:tcBorders>
            <w:vAlign w:val="bottom"/>
          </w:tcPr>
          <w:p>
            <w:pPr>
              <w:rPr>
                <w:rFonts w:ascii="宋体"/>
                <w:color w:val="auto"/>
                <w:spacing w:val="-12"/>
                <w:sz w:val="18"/>
                <w:szCs w:val="18"/>
              </w:rPr>
            </w:pPr>
            <w:r>
              <w:rPr>
                <w:rFonts w:hint="eastAsia" w:ascii="宋体" w:hAnsi="宋体"/>
                <w:color w:val="auto"/>
                <w:sz w:val="18"/>
                <w:szCs w:val="18"/>
              </w:rPr>
              <w:t>按单项计提坏账准备的应收账款</w:t>
            </w:r>
          </w:p>
        </w:tc>
        <w:tc>
          <w:tcPr>
            <w:tcW w:w="1559" w:type="dxa"/>
            <w:tcBorders>
              <w:top w:val="single" w:color="auto" w:sz="12" w:space="0"/>
              <w:left w:val="single" w:color="000000" w:sz="4" w:space="0"/>
              <w:bottom w:val="single" w:color="auto" w:sz="4" w:space="0"/>
              <w:right w:val="single" w:color="000000" w:sz="4" w:space="0"/>
            </w:tcBorders>
            <w:vAlign w:val="bottom"/>
          </w:tcPr>
          <w:p>
            <w:pPr>
              <w:jc w:val="right"/>
              <w:rPr>
                <w:rFonts w:ascii="宋体" w:hAnsi="宋体" w:cs="宋体"/>
                <w:color w:val="auto"/>
                <w:sz w:val="18"/>
                <w:szCs w:val="18"/>
              </w:rPr>
            </w:pPr>
          </w:p>
        </w:tc>
        <w:tc>
          <w:tcPr>
            <w:tcW w:w="992" w:type="dxa"/>
            <w:tcBorders>
              <w:top w:val="single" w:color="auto" w:sz="12" w:space="0"/>
              <w:left w:val="single" w:color="000000" w:sz="4" w:space="0"/>
              <w:bottom w:val="single" w:color="auto" w:sz="4" w:space="0"/>
              <w:right w:val="single" w:color="000000" w:sz="4" w:space="0"/>
            </w:tcBorders>
            <w:vAlign w:val="bottom"/>
          </w:tcPr>
          <w:p>
            <w:pPr>
              <w:jc w:val="right"/>
              <w:rPr>
                <w:rFonts w:ascii="宋体" w:hAnsi="宋体" w:cs="宋体"/>
                <w:color w:val="auto"/>
                <w:sz w:val="18"/>
                <w:szCs w:val="18"/>
              </w:rPr>
            </w:pPr>
          </w:p>
        </w:tc>
        <w:tc>
          <w:tcPr>
            <w:tcW w:w="1418" w:type="dxa"/>
            <w:tcBorders>
              <w:top w:val="single" w:color="auto" w:sz="12" w:space="0"/>
              <w:left w:val="single" w:color="000000" w:sz="4" w:space="0"/>
              <w:bottom w:val="single" w:color="auto" w:sz="4" w:space="0"/>
              <w:right w:val="single" w:color="000000" w:sz="4" w:space="0"/>
            </w:tcBorders>
            <w:vAlign w:val="bottom"/>
          </w:tcPr>
          <w:p>
            <w:pPr>
              <w:jc w:val="right"/>
              <w:rPr>
                <w:rFonts w:ascii="宋体" w:hAnsi="宋体" w:cs="宋体"/>
                <w:color w:val="auto"/>
                <w:sz w:val="18"/>
                <w:szCs w:val="18"/>
              </w:rPr>
            </w:pPr>
          </w:p>
        </w:tc>
        <w:tc>
          <w:tcPr>
            <w:tcW w:w="1275" w:type="dxa"/>
            <w:tcBorders>
              <w:top w:val="single" w:color="auto" w:sz="12" w:space="0"/>
              <w:left w:val="single" w:color="000000" w:sz="4" w:space="0"/>
              <w:bottom w:val="single" w:color="auto" w:sz="4" w:space="0"/>
              <w:right w:val="single" w:color="000000" w:sz="4" w:space="0"/>
            </w:tcBorders>
            <w:vAlign w:val="bottom"/>
          </w:tcPr>
          <w:p>
            <w:pPr>
              <w:jc w:val="right"/>
              <w:rPr>
                <w:rFonts w:ascii="宋体" w:hAnsi="宋体" w:cs="宋体"/>
                <w:color w:val="auto"/>
                <w:sz w:val="18"/>
                <w:szCs w:val="18"/>
              </w:rPr>
            </w:pPr>
          </w:p>
        </w:tc>
        <w:tc>
          <w:tcPr>
            <w:tcW w:w="1560" w:type="dxa"/>
            <w:tcBorders>
              <w:top w:val="single" w:color="auto" w:sz="12" w:space="0"/>
              <w:left w:val="single" w:color="000000" w:sz="4" w:space="0"/>
              <w:bottom w:val="single" w:color="auto" w:sz="4" w:space="0"/>
            </w:tcBorders>
            <w:vAlign w:val="bottom"/>
          </w:tcPr>
          <w:p>
            <w:pPr>
              <w:jc w:val="right"/>
              <w:rPr>
                <w:rFonts w:ascii="宋体" w:hAnsi="宋体" w:cs="宋体"/>
                <w:color w:val="auto"/>
                <w:sz w:val="18"/>
                <w:szCs w:val="18"/>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tcBorders>
              <w:top w:val="single" w:color="auto" w:sz="4" w:space="0"/>
              <w:bottom w:val="single" w:color="auto" w:sz="4" w:space="0"/>
              <w:right w:val="single" w:color="000000" w:sz="4" w:space="0"/>
            </w:tcBorders>
            <w:vAlign w:val="bottom"/>
          </w:tcPr>
          <w:p>
            <w:pPr>
              <w:rPr>
                <w:rFonts w:ascii="宋体"/>
                <w:color w:val="auto"/>
                <w:kern w:val="0"/>
                <w:sz w:val="18"/>
                <w:szCs w:val="18"/>
              </w:rPr>
            </w:pPr>
            <w:r>
              <w:rPr>
                <w:rFonts w:hint="eastAsia" w:ascii="宋体" w:hAnsi="宋体"/>
                <w:color w:val="auto"/>
                <w:sz w:val="18"/>
                <w:szCs w:val="18"/>
              </w:rPr>
              <w:t>按组合计提坏账准备的应收账款</w:t>
            </w:r>
          </w:p>
        </w:tc>
        <w:tc>
          <w:tcPr>
            <w:tcW w:w="1559" w:type="dxa"/>
            <w:tcBorders>
              <w:top w:val="single" w:color="auto" w:sz="4" w:space="0"/>
              <w:left w:val="single" w:color="000000" w:sz="4" w:space="0"/>
              <w:bottom w:val="single" w:color="auto" w:sz="4" w:space="0"/>
              <w:right w:val="single" w:color="000000"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79,110,419.14 </w:t>
            </w:r>
          </w:p>
        </w:tc>
        <w:tc>
          <w:tcPr>
            <w:tcW w:w="992" w:type="dxa"/>
            <w:tcBorders>
              <w:top w:val="single" w:color="auto" w:sz="4" w:space="0"/>
              <w:left w:val="single" w:color="000000" w:sz="4" w:space="0"/>
              <w:bottom w:val="single" w:color="auto" w:sz="4" w:space="0"/>
              <w:right w:val="single" w:color="000000"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100.00 </w:t>
            </w:r>
          </w:p>
        </w:tc>
        <w:tc>
          <w:tcPr>
            <w:tcW w:w="1418" w:type="dxa"/>
            <w:tcBorders>
              <w:top w:val="single" w:color="auto" w:sz="4" w:space="0"/>
              <w:left w:val="single" w:color="000000" w:sz="4" w:space="0"/>
              <w:bottom w:val="single" w:color="auto" w:sz="4" w:space="0"/>
              <w:right w:val="single" w:color="000000"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7,255,856.18 </w:t>
            </w:r>
          </w:p>
        </w:tc>
        <w:tc>
          <w:tcPr>
            <w:tcW w:w="1275" w:type="dxa"/>
            <w:tcBorders>
              <w:top w:val="single" w:color="auto" w:sz="4" w:space="0"/>
              <w:left w:val="single" w:color="000000" w:sz="4" w:space="0"/>
              <w:bottom w:val="single" w:color="auto" w:sz="4" w:space="0"/>
              <w:right w:val="single" w:color="000000"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9.17</w:t>
            </w:r>
          </w:p>
        </w:tc>
        <w:tc>
          <w:tcPr>
            <w:tcW w:w="1560" w:type="dxa"/>
            <w:tcBorders>
              <w:top w:val="single" w:color="auto" w:sz="4" w:space="0"/>
              <w:left w:val="single" w:color="000000"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71,854,562.96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tcBorders>
              <w:top w:val="single" w:color="auto" w:sz="12" w:space="0"/>
              <w:bottom w:val="single" w:color="000000" w:sz="12" w:space="0"/>
              <w:right w:val="single" w:color="000000" w:sz="4" w:space="0"/>
            </w:tcBorders>
            <w:vAlign w:val="bottom"/>
          </w:tcPr>
          <w:p>
            <w:pPr>
              <w:jc w:val="center"/>
              <w:rPr>
                <w:rFonts w:ascii="宋体"/>
                <w:b/>
                <w:bCs/>
                <w:color w:val="auto"/>
                <w:sz w:val="18"/>
                <w:szCs w:val="18"/>
              </w:rPr>
            </w:pPr>
            <w:r>
              <w:rPr>
                <w:rFonts w:hint="eastAsia" w:ascii="宋体" w:hAnsi="宋体" w:cs="宋体"/>
                <w:b/>
                <w:bCs/>
                <w:color w:val="auto"/>
                <w:sz w:val="18"/>
                <w:szCs w:val="18"/>
              </w:rPr>
              <w:t>合计</w:t>
            </w:r>
          </w:p>
        </w:tc>
        <w:tc>
          <w:tcPr>
            <w:tcW w:w="1559" w:type="dxa"/>
            <w:tcBorders>
              <w:top w:val="single" w:color="auto" w:sz="12" w:space="0"/>
              <w:left w:val="single" w:color="000000" w:sz="4" w:space="0"/>
              <w:bottom w:val="single" w:color="000000" w:sz="12" w:space="0"/>
              <w:right w:val="single" w:color="000000"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79,110,419.14 </w:t>
            </w:r>
          </w:p>
        </w:tc>
        <w:tc>
          <w:tcPr>
            <w:tcW w:w="992" w:type="dxa"/>
            <w:tcBorders>
              <w:top w:val="single" w:color="auto" w:sz="12" w:space="0"/>
              <w:left w:val="single" w:color="000000" w:sz="4" w:space="0"/>
              <w:bottom w:val="single" w:color="000000" w:sz="12" w:space="0"/>
              <w:right w:val="single" w:color="000000"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100.00 </w:t>
            </w:r>
          </w:p>
        </w:tc>
        <w:tc>
          <w:tcPr>
            <w:tcW w:w="1418" w:type="dxa"/>
            <w:tcBorders>
              <w:top w:val="single" w:color="auto" w:sz="12" w:space="0"/>
              <w:left w:val="single" w:color="000000" w:sz="4" w:space="0"/>
              <w:bottom w:val="single" w:color="000000" w:sz="12" w:space="0"/>
              <w:right w:val="single" w:color="000000"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7,255,856.18 </w:t>
            </w:r>
          </w:p>
        </w:tc>
        <w:tc>
          <w:tcPr>
            <w:tcW w:w="1275" w:type="dxa"/>
            <w:tcBorders>
              <w:top w:val="single" w:color="auto" w:sz="12" w:space="0"/>
              <w:left w:val="single" w:color="000000" w:sz="4" w:space="0"/>
              <w:bottom w:val="single" w:color="000000" w:sz="12" w:space="0"/>
              <w:right w:val="single" w:color="000000"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9.17</w:t>
            </w:r>
          </w:p>
        </w:tc>
        <w:tc>
          <w:tcPr>
            <w:tcW w:w="1560" w:type="dxa"/>
            <w:tcBorders>
              <w:top w:val="single" w:color="auto" w:sz="12" w:space="0"/>
              <w:left w:val="single" w:color="000000" w:sz="4" w:space="0"/>
              <w:bottom w:val="single" w:color="000000" w:sz="12"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71,854,562.96 </w:t>
            </w:r>
          </w:p>
        </w:tc>
      </w:tr>
    </w:tbl>
    <w:p>
      <w:pPr>
        <w:tabs>
          <w:tab w:val="left" w:pos="2398"/>
        </w:tabs>
        <w:spacing w:before="150" w:beforeLines="50" w:after="150" w:afterLines="50" w:line="360" w:lineRule="auto"/>
        <w:ind w:right="119" w:firstLine="420" w:firstLineChars="200"/>
        <w:rPr>
          <w:rFonts w:ascii="宋体" w:hAnsi="宋体"/>
          <w:color w:val="auto"/>
        </w:rPr>
      </w:pPr>
      <w:r>
        <w:rPr>
          <w:color w:val="auto"/>
        </w:rPr>
        <w:fldChar w:fldCharType="begin"/>
      </w:r>
      <w:r>
        <w:rPr>
          <w:rFonts w:hint="eastAsia"/>
          <w:color w:val="auto"/>
        </w:rPr>
        <w:instrText xml:space="preserve">= 1 \* GB3</w:instrText>
      </w:r>
      <w:r>
        <w:rPr>
          <w:color w:val="auto"/>
        </w:rPr>
        <w:fldChar w:fldCharType="separate"/>
      </w:r>
      <w:r>
        <w:rPr>
          <w:rFonts w:hint="eastAsia"/>
          <w:color w:val="auto"/>
        </w:rPr>
        <w:t>①</w:t>
      </w:r>
      <w:r>
        <w:rPr>
          <w:color w:val="auto"/>
        </w:rPr>
        <w:fldChar w:fldCharType="end"/>
      </w:r>
      <w:r>
        <w:rPr>
          <w:rFonts w:hint="eastAsia"/>
          <w:color w:val="auto"/>
        </w:rPr>
        <w:t>按</w:t>
      </w:r>
      <w:r>
        <w:rPr>
          <w:color w:val="auto"/>
        </w:rPr>
        <w:t>单项计提坏账准备的应收账款：</w:t>
      </w:r>
    </w:p>
    <w:tbl>
      <w:tblPr>
        <w:tblStyle w:val="9"/>
        <w:tblW w:w="4939" w:type="pct"/>
        <w:tblInd w:w="108" w:type="dxa"/>
        <w:tblBorders>
          <w:top w:val="single" w:color="auto" w:sz="12" w:space="0"/>
          <w:left w:val="none" w:color="auto" w:sz="0" w:space="0"/>
          <w:bottom w:val="single" w:color="auto" w:sz="12" w:space="0"/>
          <w:right w:val="none" w:color="auto" w:sz="0" w:space="0"/>
          <w:insideH w:val="single" w:color="auto" w:sz="12" w:space="0"/>
          <w:insideV w:val="single" w:color="auto" w:sz="6" w:space="0"/>
        </w:tblBorders>
        <w:tblLayout w:type="autofit"/>
        <w:tblCellMar>
          <w:top w:w="0" w:type="dxa"/>
          <w:left w:w="108" w:type="dxa"/>
          <w:bottom w:w="0" w:type="dxa"/>
          <w:right w:w="108" w:type="dxa"/>
        </w:tblCellMar>
      </w:tblPr>
      <w:tblGrid>
        <w:gridCol w:w="3124"/>
        <w:gridCol w:w="1719"/>
        <w:gridCol w:w="1561"/>
        <w:gridCol w:w="1403"/>
        <w:gridCol w:w="1926"/>
      </w:tblGrid>
      <w:tr>
        <w:tblPrEx>
          <w:tblBorders>
            <w:top w:val="single" w:color="auto" w:sz="12" w:space="0"/>
            <w:left w:val="none" w:color="auto" w:sz="0" w:space="0"/>
            <w:bottom w:val="single" w:color="auto" w:sz="12" w:space="0"/>
            <w:right w:val="none" w:color="auto" w:sz="0" w:space="0"/>
            <w:insideH w:val="single" w:color="auto" w:sz="12" w:space="0"/>
            <w:insideV w:val="single" w:color="auto" w:sz="6" w:space="0"/>
          </w:tblBorders>
          <w:tblCellMar>
            <w:top w:w="0" w:type="dxa"/>
            <w:left w:w="108" w:type="dxa"/>
            <w:bottom w:w="0" w:type="dxa"/>
            <w:right w:w="108" w:type="dxa"/>
          </w:tblCellMar>
        </w:tblPrEx>
        <w:trPr>
          <w:trHeight w:val="454" w:hRule="exact"/>
        </w:trPr>
        <w:tc>
          <w:tcPr>
            <w:tcW w:w="1605" w:type="pct"/>
            <w:vMerge w:val="restart"/>
            <w:tcBorders>
              <w:bottom w:val="single" w:color="auto" w:sz="6" w:space="0"/>
            </w:tcBorders>
            <w:vAlign w:val="center"/>
          </w:tcPr>
          <w:p>
            <w:pPr>
              <w:snapToGrid w:val="0"/>
              <w:jc w:val="center"/>
              <w:rPr>
                <w:rFonts w:ascii="宋体" w:hAnsi="宋体"/>
                <w:b/>
                <w:bCs/>
                <w:color w:val="auto"/>
                <w:sz w:val="18"/>
                <w:szCs w:val="18"/>
              </w:rPr>
            </w:pPr>
            <w:r>
              <w:rPr>
                <w:rFonts w:hint="eastAsia" w:ascii="宋体" w:hAnsi="宋体"/>
                <w:b/>
                <w:bCs/>
                <w:color w:val="auto"/>
                <w:sz w:val="18"/>
                <w:szCs w:val="18"/>
              </w:rPr>
              <w:t>项目</w:t>
            </w:r>
          </w:p>
        </w:tc>
        <w:tc>
          <w:tcPr>
            <w:tcW w:w="3395" w:type="pct"/>
            <w:gridSpan w:val="4"/>
            <w:tcBorders>
              <w:bottom w:val="single" w:color="auto" w:sz="6" w:space="0"/>
            </w:tcBorders>
            <w:vAlign w:val="center"/>
          </w:tcPr>
          <w:p>
            <w:pPr>
              <w:snapToGrid w:val="0"/>
              <w:jc w:val="center"/>
              <w:rPr>
                <w:rFonts w:ascii="宋体" w:hAnsi="宋体"/>
                <w:b/>
                <w:bCs/>
                <w:color w:val="auto"/>
                <w:sz w:val="18"/>
                <w:szCs w:val="18"/>
              </w:rPr>
            </w:pPr>
            <w:r>
              <w:rPr>
                <w:rFonts w:hint="eastAsia" w:ascii="宋体" w:hAnsi="宋体"/>
                <w:b/>
                <w:color w:val="auto"/>
                <w:sz w:val="18"/>
                <w:szCs w:val="18"/>
              </w:rPr>
              <w:t>期末余额</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6" w:space="0"/>
          </w:tblBorders>
          <w:tblCellMar>
            <w:top w:w="0" w:type="dxa"/>
            <w:left w:w="108" w:type="dxa"/>
            <w:bottom w:w="0" w:type="dxa"/>
            <w:right w:w="108" w:type="dxa"/>
          </w:tblCellMar>
        </w:tblPrEx>
        <w:trPr>
          <w:trHeight w:val="454" w:hRule="exact"/>
        </w:trPr>
        <w:tc>
          <w:tcPr>
            <w:tcW w:w="1605" w:type="pct"/>
            <w:vMerge w:val="continue"/>
            <w:tcBorders>
              <w:top w:val="single" w:color="auto" w:sz="6" w:space="0"/>
            </w:tcBorders>
            <w:vAlign w:val="center"/>
          </w:tcPr>
          <w:p>
            <w:pPr>
              <w:jc w:val="center"/>
              <w:rPr>
                <w:b/>
                <w:color w:val="auto"/>
                <w:sz w:val="18"/>
                <w:szCs w:val="18"/>
              </w:rPr>
            </w:pPr>
          </w:p>
        </w:tc>
        <w:tc>
          <w:tcPr>
            <w:tcW w:w="883" w:type="pct"/>
            <w:tcBorders>
              <w:top w:val="single" w:color="auto" w:sz="6" w:space="0"/>
            </w:tcBorders>
            <w:vAlign w:val="center"/>
          </w:tcPr>
          <w:p>
            <w:pPr>
              <w:snapToGrid w:val="0"/>
              <w:jc w:val="center"/>
              <w:rPr>
                <w:b/>
                <w:color w:val="auto"/>
                <w:sz w:val="18"/>
                <w:szCs w:val="18"/>
              </w:rPr>
            </w:pPr>
            <w:r>
              <w:rPr>
                <w:rFonts w:hint="eastAsia"/>
                <w:b/>
                <w:color w:val="auto"/>
                <w:sz w:val="18"/>
                <w:szCs w:val="18"/>
              </w:rPr>
              <w:t>应收账款</w:t>
            </w:r>
          </w:p>
        </w:tc>
        <w:tc>
          <w:tcPr>
            <w:tcW w:w="802" w:type="pct"/>
            <w:tcBorders>
              <w:top w:val="single" w:color="auto" w:sz="6" w:space="0"/>
            </w:tcBorders>
            <w:vAlign w:val="center"/>
          </w:tcPr>
          <w:p>
            <w:pPr>
              <w:snapToGrid w:val="0"/>
              <w:jc w:val="center"/>
              <w:rPr>
                <w:b/>
                <w:color w:val="auto"/>
                <w:sz w:val="18"/>
                <w:szCs w:val="18"/>
              </w:rPr>
            </w:pPr>
            <w:r>
              <w:rPr>
                <w:rFonts w:hint="eastAsia"/>
                <w:b/>
                <w:color w:val="auto"/>
                <w:sz w:val="18"/>
                <w:szCs w:val="18"/>
              </w:rPr>
              <w:t>坏账准备</w:t>
            </w:r>
          </w:p>
        </w:tc>
        <w:tc>
          <w:tcPr>
            <w:tcW w:w="721" w:type="pct"/>
            <w:tcBorders>
              <w:top w:val="single" w:color="auto" w:sz="6" w:space="0"/>
            </w:tcBorders>
            <w:vAlign w:val="center"/>
          </w:tcPr>
          <w:p>
            <w:pPr>
              <w:snapToGrid w:val="0"/>
              <w:jc w:val="center"/>
              <w:rPr>
                <w:b/>
                <w:color w:val="auto"/>
                <w:sz w:val="18"/>
                <w:szCs w:val="18"/>
              </w:rPr>
            </w:pPr>
            <w:r>
              <w:rPr>
                <w:rFonts w:hint="eastAsia"/>
                <w:b/>
                <w:color w:val="auto"/>
                <w:sz w:val="18"/>
                <w:szCs w:val="18"/>
              </w:rPr>
              <w:t>计提比例</w:t>
            </w:r>
            <w:r>
              <w:rPr>
                <w:rFonts w:hint="eastAsia" w:ascii="宋体" w:hAnsi="宋体" w:cs="宋体"/>
                <w:b/>
                <w:bCs/>
                <w:color w:val="auto"/>
                <w:sz w:val="18"/>
                <w:szCs w:val="18"/>
              </w:rPr>
              <w:t>（</w:t>
            </w:r>
            <w:r>
              <w:rPr>
                <w:rFonts w:ascii="宋体" w:hAnsi="宋体" w:cs="宋体"/>
                <w:b/>
                <w:bCs/>
                <w:color w:val="auto"/>
                <w:sz w:val="18"/>
                <w:szCs w:val="18"/>
              </w:rPr>
              <w:t>%）</w:t>
            </w:r>
          </w:p>
        </w:tc>
        <w:tc>
          <w:tcPr>
            <w:tcW w:w="989" w:type="pct"/>
            <w:tcBorders>
              <w:top w:val="single" w:color="auto" w:sz="6" w:space="0"/>
            </w:tcBorders>
            <w:vAlign w:val="center"/>
          </w:tcPr>
          <w:p>
            <w:pPr>
              <w:snapToGrid w:val="0"/>
              <w:jc w:val="center"/>
              <w:rPr>
                <w:rFonts w:ascii="宋体" w:hAnsi="宋体"/>
                <w:b/>
                <w:bCs/>
                <w:color w:val="auto"/>
                <w:sz w:val="18"/>
                <w:szCs w:val="18"/>
              </w:rPr>
            </w:pPr>
            <w:r>
              <w:rPr>
                <w:rFonts w:hint="eastAsia" w:ascii="宋体" w:hAnsi="宋体"/>
                <w:b/>
                <w:bCs/>
                <w:color w:val="auto"/>
                <w:sz w:val="18"/>
                <w:szCs w:val="18"/>
              </w:rPr>
              <w:t>计提理由</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6" w:space="0"/>
          </w:tblBorders>
          <w:tblCellMar>
            <w:top w:w="0" w:type="dxa"/>
            <w:left w:w="108" w:type="dxa"/>
            <w:bottom w:w="0" w:type="dxa"/>
            <w:right w:w="108" w:type="dxa"/>
          </w:tblCellMar>
        </w:tblPrEx>
        <w:trPr>
          <w:trHeight w:val="716" w:hRule="exact"/>
        </w:trPr>
        <w:tc>
          <w:tcPr>
            <w:tcW w:w="1605" w:type="pct"/>
            <w:tcBorders>
              <w:top w:val="single" w:color="auto" w:sz="4" w:space="0"/>
            </w:tcBorders>
            <w:vAlign w:val="bottom"/>
          </w:tcPr>
          <w:p>
            <w:pPr>
              <w:jc w:val="left"/>
              <w:rPr>
                <w:rFonts w:ascii="宋体" w:hAnsi="宋体" w:cs="宋体"/>
                <w:color w:val="auto"/>
                <w:sz w:val="18"/>
                <w:szCs w:val="18"/>
              </w:rPr>
            </w:pPr>
            <w:r>
              <w:rPr>
                <w:rFonts w:hint="eastAsia" w:ascii="宋体" w:hAnsi="宋体" w:cs="宋体"/>
                <w:color w:val="auto"/>
                <w:sz w:val="18"/>
                <w:szCs w:val="18"/>
              </w:rPr>
              <w:t>龙口中宇汽车风扇离合器有限公司</w:t>
            </w:r>
          </w:p>
        </w:tc>
        <w:tc>
          <w:tcPr>
            <w:tcW w:w="883" w:type="pct"/>
            <w:tcBorders>
              <w:top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110,903.49</w:t>
            </w:r>
          </w:p>
        </w:tc>
        <w:tc>
          <w:tcPr>
            <w:tcW w:w="802" w:type="pct"/>
            <w:tcBorders>
              <w:top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110,903.49</w:t>
            </w:r>
          </w:p>
        </w:tc>
        <w:tc>
          <w:tcPr>
            <w:tcW w:w="721" w:type="pct"/>
            <w:tcBorders>
              <w:top w:val="single" w:color="auto" w:sz="4" w:space="0"/>
            </w:tcBorders>
            <w:vAlign w:val="bottom"/>
          </w:tcPr>
          <w:p>
            <w:pPr>
              <w:jc w:val="right"/>
              <w:rPr>
                <w:rFonts w:ascii="宋体" w:hAnsi="宋体" w:cs="宋体"/>
                <w:color w:val="auto"/>
                <w:sz w:val="18"/>
                <w:szCs w:val="18"/>
              </w:rPr>
            </w:pPr>
            <w:r>
              <w:rPr>
                <w:rFonts w:hint="eastAsia" w:ascii="宋体" w:hAnsi="宋体" w:cs="宋体"/>
                <w:color w:val="auto"/>
                <w:sz w:val="18"/>
                <w:szCs w:val="18"/>
              </w:rPr>
              <w:t>10</w:t>
            </w:r>
            <w:r>
              <w:rPr>
                <w:rFonts w:ascii="宋体" w:hAnsi="宋体" w:cs="宋体"/>
                <w:color w:val="auto"/>
                <w:sz w:val="18"/>
                <w:szCs w:val="18"/>
              </w:rPr>
              <w:t>0.00</w:t>
            </w:r>
          </w:p>
        </w:tc>
        <w:tc>
          <w:tcPr>
            <w:tcW w:w="989" w:type="pct"/>
            <w:tcBorders>
              <w:top w:val="single" w:color="auto" w:sz="4" w:space="0"/>
            </w:tcBorders>
            <w:vAlign w:val="bottom"/>
          </w:tcPr>
          <w:p>
            <w:pPr>
              <w:jc w:val="center"/>
              <w:rPr>
                <w:rFonts w:ascii="宋体" w:hAnsi="宋体" w:cs="宋体"/>
                <w:color w:val="auto"/>
                <w:sz w:val="18"/>
                <w:szCs w:val="18"/>
              </w:rPr>
            </w:pPr>
            <w:r>
              <w:rPr>
                <w:rFonts w:hint="eastAsia" w:ascii="宋体" w:hAnsi="宋体" w:cs="宋体"/>
                <w:color w:val="auto"/>
                <w:sz w:val="18"/>
                <w:szCs w:val="18"/>
              </w:rPr>
              <w:t>企业破产重整预计全部无法收回</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6" w:space="0"/>
          </w:tblBorders>
          <w:tblCellMar>
            <w:top w:w="0" w:type="dxa"/>
            <w:left w:w="108" w:type="dxa"/>
            <w:bottom w:w="0" w:type="dxa"/>
            <w:right w:w="108" w:type="dxa"/>
          </w:tblCellMar>
        </w:tblPrEx>
        <w:trPr>
          <w:trHeight w:val="454" w:hRule="exact"/>
        </w:trPr>
        <w:tc>
          <w:tcPr>
            <w:tcW w:w="1605" w:type="pct"/>
            <w:vAlign w:val="bottom"/>
          </w:tcPr>
          <w:p>
            <w:pPr>
              <w:jc w:val="center"/>
              <w:rPr>
                <w:rFonts w:ascii="宋体" w:hAnsi="宋体" w:cs="宋体"/>
                <w:b/>
                <w:bCs/>
                <w:color w:val="auto"/>
                <w:sz w:val="18"/>
                <w:szCs w:val="18"/>
              </w:rPr>
            </w:pPr>
            <w:r>
              <w:rPr>
                <w:rFonts w:hint="eastAsia"/>
                <w:b/>
                <w:bCs/>
                <w:color w:val="auto"/>
                <w:sz w:val="18"/>
                <w:szCs w:val="18"/>
              </w:rPr>
              <w:t>合计</w:t>
            </w:r>
          </w:p>
        </w:tc>
        <w:tc>
          <w:tcPr>
            <w:tcW w:w="883" w:type="pct"/>
            <w:vAlign w:val="bottom"/>
          </w:tcPr>
          <w:p>
            <w:pPr>
              <w:jc w:val="right"/>
              <w:rPr>
                <w:rFonts w:ascii="宋体" w:hAnsi="宋体" w:cs="宋体"/>
                <w:b/>
                <w:bCs/>
                <w:color w:val="auto"/>
                <w:sz w:val="18"/>
                <w:szCs w:val="18"/>
              </w:rPr>
            </w:pPr>
            <w:r>
              <w:rPr>
                <w:rFonts w:ascii="宋体" w:hAnsi="宋体" w:cs="宋体"/>
                <w:b/>
                <w:bCs/>
                <w:color w:val="auto"/>
                <w:sz w:val="18"/>
                <w:szCs w:val="18"/>
              </w:rPr>
              <w:t>110,903.49</w:t>
            </w:r>
          </w:p>
        </w:tc>
        <w:tc>
          <w:tcPr>
            <w:tcW w:w="802" w:type="pct"/>
            <w:vAlign w:val="bottom"/>
          </w:tcPr>
          <w:p>
            <w:pPr>
              <w:jc w:val="right"/>
              <w:rPr>
                <w:rFonts w:ascii="宋体" w:hAnsi="宋体" w:cs="宋体"/>
                <w:b/>
                <w:bCs/>
                <w:color w:val="auto"/>
                <w:sz w:val="18"/>
                <w:szCs w:val="18"/>
              </w:rPr>
            </w:pPr>
            <w:r>
              <w:rPr>
                <w:rFonts w:ascii="宋体" w:hAnsi="宋体" w:cs="宋体"/>
                <w:b/>
                <w:bCs/>
                <w:color w:val="auto"/>
                <w:sz w:val="18"/>
                <w:szCs w:val="18"/>
              </w:rPr>
              <w:t>110,903.49</w:t>
            </w:r>
          </w:p>
        </w:tc>
        <w:tc>
          <w:tcPr>
            <w:tcW w:w="721" w:type="pct"/>
            <w:vAlign w:val="bottom"/>
          </w:tcPr>
          <w:p>
            <w:pPr>
              <w:jc w:val="right"/>
              <w:rPr>
                <w:rFonts w:ascii="宋体" w:hAnsi="宋体" w:cs="宋体"/>
                <w:b/>
                <w:color w:val="auto"/>
                <w:sz w:val="18"/>
                <w:szCs w:val="18"/>
              </w:rPr>
            </w:pPr>
          </w:p>
        </w:tc>
        <w:tc>
          <w:tcPr>
            <w:tcW w:w="989" w:type="pct"/>
            <w:vAlign w:val="bottom"/>
          </w:tcPr>
          <w:p>
            <w:pPr>
              <w:jc w:val="center"/>
              <w:rPr>
                <w:rFonts w:ascii="宋体" w:hAnsi="宋体" w:cs="宋体"/>
                <w:b/>
                <w:bCs/>
                <w:color w:val="auto"/>
                <w:sz w:val="18"/>
                <w:szCs w:val="18"/>
              </w:rPr>
            </w:pPr>
          </w:p>
        </w:tc>
      </w:tr>
    </w:tbl>
    <w:p>
      <w:pPr>
        <w:tabs>
          <w:tab w:val="left" w:pos="2398"/>
        </w:tabs>
        <w:spacing w:before="150" w:beforeLines="50" w:after="150" w:afterLines="50" w:line="360" w:lineRule="auto"/>
        <w:ind w:right="119" w:firstLine="420" w:firstLineChars="200"/>
        <w:rPr>
          <w:color w:val="auto"/>
        </w:rPr>
      </w:pPr>
      <w:r>
        <w:rPr>
          <w:color w:val="auto"/>
        </w:rPr>
        <w:fldChar w:fldCharType="begin"/>
      </w:r>
      <w:r>
        <w:rPr>
          <w:rFonts w:hint="eastAsia"/>
          <w:color w:val="auto"/>
        </w:rPr>
        <w:instrText xml:space="preserve">= 2 \* GB3</w:instrText>
      </w:r>
      <w:r>
        <w:rPr>
          <w:color w:val="auto"/>
        </w:rPr>
        <w:fldChar w:fldCharType="separate"/>
      </w:r>
      <w:r>
        <w:rPr>
          <w:rFonts w:hint="eastAsia"/>
          <w:color w:val="auto"/>
        </w:rPr>
        <w:t>②</w:t>
      </w:r>
      <w:r>
        <w:rPr>
          <w:color w:val="auto"/>
        </w:rPr>
        <w:fldChar w:fldCharType="end"/>
      </w:r>
      <w:r>
        <w:rPr>
          <w:rFonts w:hint="eastAsia"/>
          <w:color w:val="auto"/>
        </w:rPr>
        <w:t>按组合计提坏账准备的应收账款：</w:t>
      </w:r>
    </w:p>
    <w:tbl>
      <w:tblPr>
        <w:tblStyle w:val="9"/>
        <w:tblW w:w="0" w:type="auto"/>
        <w:jc w:val="center"/>
        <w:tblCaption w:val="&quot;\\lisheng\共享\1、伟隆2022年度审计\1、2022年度审计\1、附注及报告\2022年\附注计算-伟隆 - 2022.xlsx&quot; &quot;2022附注格式!_ReportTable_0018&quot;"/>
        <w:tblDescription w:val="A69:D77"/>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78"/>
        <w:gridCol w:w="2476"/>
        <w:gridCol w:w="2410"/>
        <w:gridCol w:w="196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8" w:type="dxa"/>
            <w:vMerge w:val="restart"/>
            <w:tcBorders>
              <w:top w:val="single" w:color="auto" w:sz="12" w:space="0"/>
            </w:tcBorders>
            <w:vAlign w:val="center"/>
          </w:tcPr>
          <w:p>
            <w:pPr>
              <w:jc w:val="center"/>
              <w:rPr>
                <w:rFonts w:ascii="宋体"/>
                <w:b/>
                <w:bCs/>
                <w:color w:val="auto"/>
                <w:sz w:val="18"/>
                <w:szCs w:val="18"/>
              </w:rPr>
            </w:pPr>
            <w:r>
              <w:rPr>
                <w:rFonts w:hint="eastAsia" w:ascii="宋体"/>
                <w:b/>
                <w:bCs/>
                <w:color w:val="auto"/>
                <w:sz w:val="18"/>
                <w:szCs w:val="18"/>
              </w:rPr>
              <w:t>账龄</w:t>
            </w:r>
          </w:p>
        </w:tc>
        <w:tc>
          <w:tcPr>
            <w:tcW w:w="6852" w:type="dxa"/>
            <w:gridSpan w:val="3"/>
            <w:tcBorders>
              <w:top w:val="single" w:color="auto" w:sz="12" w:space="0"/>
            </w:tcBorders>
            <w:vAlign w:val="center"/>
          </w:tcPr>
          <w:p>
            <w:pPr>
              <w:jc w:val="center"/>
              <w:rPr>
                <w:rFonts w:ascii="宋体"/>
                <w:b/>
                <w:bCs/>
                <w:color w:val="auto"/>
                <w:sz w:val="18"/>
                <w:szCs w:val="18"/>
              </w:rPr>
            </w:pPr>
            <w:r>
              <w:rPr>
                <w:rFonts w:hint="eastAsia" w:ascii="宋体"/>
                <w:b/>
                <w:bCs/>
                <w:color w:val="auto"/>
                <w:sz w:val="18"/>
                <w:szCs w:val="18"/>
              </w:rPr>
              <w:t>期末余额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8" w:type="dxa"/>
            <w:vMerge w:val="continue"/>
            <w:tcBorders>
              <w:bottom w:val="single" w:color="auto" w:sz="12" w:space="0"/>
            </w:tcBorders>
          </w:tcPr>
          <w:p>
            <w:pPr>
              <w:jc w:val="center"/>
              <w:rPr>
                <w:rFonts w:ascii="宋体"/>
                <w:b/>
                <w:bCs/>
                <w:color w:val="auto"/>
                <w:sz w:val="18"/>
                <w:szCs w:val="18"/>
              </w:rPr>
            </w:pPr>
          </w:p>
        </w:tc>
        <w:tc>
          <w:tcPr>
            <w:tcW w:w="2476" w:type="dxa"/>
            <w:tcBorders>
              <w:bottom w:val="single" w:color="auto" w:sz="12" w:space="0"/>
            </w:tcBorders>
            <w:vAlign w:val="center"/>
          </w:tcPr>
          <w:p>
            <w:pPr>
              <w:jc w:val="center"/>
              <w:rPr>
                <w:rFonts w:ascii="宋体"/>
                <w:b/>
                <w:bCs/>
                <w:color w:val="auto"/>
                <w:sz w:val="18"/>
                <w:szCs w:val="18"/>
              </w:rPr>
            </w:pPr>
            <w:r>
              <w:rPr>
                <w:rFonts w:hint="eastAsia" w:ascii="宋体"/>
                <w:b/>
                <w:bCs/>
                <w:color w:val="auto"/>
                <w:sz w:val="18"/>
                <w:szCs w:val="18"/>
              </w:rPr>
              <w:t>应收账款</w:t>
            </w:r>
          </w:p>
        </w:tc>
        <w:tc>
          <w:tcPr>
            <w:tcW w:w="2410" w:type="dxa"/>
            <w:tcBorders>
              <w:bottom w:val="single" w:color="auto" w:sz="12" w:space="0"/>
            </w:tcBorders>
            <w:vAlign w:val="center"/>
          </w:tcPr>
          <w:p>
            <w:pPr>
              <w:jc w:val="center"/>
              <w:rPr>
                <w:rFonts w:ascii="宋体"/>
                <w:b/>
                <w:bCs/>
                <w:color w:val="auto"/>
                <w:sz w:val="18"/>
                <w:szCs w:val="18"/>
              </w:rPr>
            </w:pPr>
            <w:r>
              <w:rPr>
                <w:rFonts w:hint="eastAsia" w:ascii="宋体"/>
                <w:b/>
                <w:bCs/>
                <w:color w:val="auto"/>
                <w:sz w:val="18"/>
                <w:szCs w:val="18"/>
              </w:rPr>
              <w:t>坏账准备</w:t>
            </w:r>
          </w:p>
        </w:tc>
        <w:tc>
          <w:tcPr>
            <w:tcW w:w="1966" w:type="dxa"/>
            <w:tcBorders>
              <w:bottom w:val="single" w:color="auto" w:sz="12" w:space="0"/>
            </w:tcBorders>
            <w:vAlign w:val="center"/>
          </w:tcPr>
          <w:p>
            <w:pPr>
              <w:jc w:val="center"/>
              <w:rPr>
                <w:rFonts w:ascii="宋体"/>
                <w:b/>
                <w:bCs/>
                <w:color w:val="auto"/>
                <w:sz w:val="18"/>
                <w:szCs w:val="18"/>
              </w:rPr>
            </w:pPr>
            <w:r>
              <w:rPr>
                <w:rFonts w:hint="eastAsia" w:ascii="宋体"/>
                <w:b/>
                <w:bCs/>
                <w:color w:val="auto"/>
                <w:sz w:val="18"/>
                <w:szCs w:val="18"/>
              </w:rPr>
              <w:t>计提比例（%）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178" w:type="dxa"/>
            <w:tcBorders>
              <w:top w:val="single" w:color="auto" w:sz="12" w:space="0"/>
            </w:tcBorders>
            <w:vAlign w:val="bottom"/>
          </w:tcPr>
          <w:p>
            <w:pPr>
              <w:rPr>
                <w:rFonts w:ascii="宋体" w:hAnsi="宋体"/>
                <w:color w:val="auto"/>
                <w:sz w:val="18"/>
                <w:szCs w:val="18"/>
              </w:rPr>
            </w:pPr>
            <w:r>
              <w:rPr>
                <w:rFonts w:ascii="宋体" w:hAnsi="宋体"/>
                <w:color w:val="auto"/>
                <w:sz w:val="18"/>
                <w:szCs w:val="18"/>
              </w:rPr>
              <w:t>1年以内（含1年）</w:t>
            </w:r>
          </w:p>
        </w:tc>
        <w:tc>
          <w:tcPr>
            <w:tcW w:w="2476" w:type="dxa"/>
            <w:tcBorders>
              <w:top w:val="single" w:color="auto" w:sz="12" w:space="0"/>
            </w:tcBorders>
            <w:vAlign w:val="bottom"/>
          </w:tcPr>
          <w:p>
            <w:pPr>
              <w:jc w:val="right"/>
              <w:rPr>
                <w:rFonts w:ascii="宋体" w:hAnsi="宋体" w:cs="宋体"/>
                <w:color w:val="auto"/>
                <w:sz w:val="18"/>
                <w:szCs w:val="18"/>
              </w:rPr>
            </w:pPr>
            <w:r>
              <w:rPr>
                <w:rFonts w:ascii="宋体" w:hAnsi="宋体"/>
                <w:color w:val="auto"/>
                <w:sz w:val="18"/>
                <w:szCs w:val="18"/>
              </w:rPr>
              <w:t>77,837,592.63</w:t>
            </w:r>
          </w:p>
        </w:tc>
        <w:tc>
          <w:tcPr>
            <w:tcW w:w="2410" w:type="dxa"/>
            <w:tcBorders>
              <w:top w:val="single" w:color="auto" w:sz="12" w:space="0"/>
            </w:tcBorders>
            <w:vAlign w:val="bottom"/>
          </w:tcPr>
          <w:p>
            <w:pPr>
              <w:jc w:val="right"/>
              <w:rPr>
                <w:rFonts w:ascii="宋体" w:hAnsi="宋体" w:cs="宋体"/>
                <w:color w:val="auto"/>
                <w:sz w:val="18"/>
                <w:szCs w:val="18"/>
              </w:rPr>
            </w:pPr>
            <w:r>
              <w:rPr>
                <w:rFonts w:ascii="宋体" w:hAnsi="宋体"/>
                <w:color w:val="auto"/>
                <w:sz w:val="18"/>
                <w:szCs w:val="18"/>
              </w:rPr>
              <w:t>3,891,879.63</w:t>
            </w:r>
          </w:p>
        </w:tc>
        <w:tc>
          <w:tcPr>
            <w:tcW w:w="1966" w:type="dxa"/>
            <w:tcBorders>
              <w:top w:val="single" w:color="auto" w:sz="12" w:space="0"/>
            </w:tcBorders>
            <w:vAlign w:val="bottom"/>
          </w:tcPr>
          <w:p>
            <w:pPr>
              <w:jc w:val="right"/>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5.00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178" w:type="dxa"/>
            <w:vAlign w:val="bottom"/>
          </w:tcPr>
          <w:p>
            <w:pPr>
              <w:rPr>
                <w:rFonts w:ascii="宋体" w:hAnsi="宋体"/>
                <w:color w:val="auto"/>
                <w:sz w:val="18"/>
                <w:szCs w:val="18"/>
              </w:rPr>
            </w:pPr>
            <w:r>
              <w:rPr>
                <w:rFonts w:ascii="宋体" w:hAnsi="宋体"/>
                <w:color w:val="auto"/>
                <w:sz w:val="18"/>
                <w:szCs w:val="18"/>
              </w:rPr>
              <w:t>1至2年（含2年）</w:t>
            </w:r>
          </w:p>
        </w:tc>
        <w:tc>
          <w:tcPr>
            <w:tcW w:w="2476" w:type="dxa"/>
            <w:vAlign w:val="bottom"/>
          </w:tcPr>
          <w:p>
            <w:pPr>
              <w:jc w:val="right"/>
              <w:rPr>
                <w:rFonts w:ascii="宋体" w:hAnsi="宋体" w:cs="宋体"/>
                <w:color w:val="auto"/>
                <w:sz w:val="18"/>
                <w:szCs w:val="18"/>
              </w:rPr>
            </w:pPr>
            <w:r>
              <w:rPr>
                <w:rFonts w:ascii="宋体" w:hAnsi="宋体"/>
                <w:color w:val="auto"/>
                <w:sz w:val="18"/>
                <w:szCs w:val="18"/>
              </w:rPr>
              <w:t>3,456,547.13</w:t>
            </w:r>
          </w:p>
        </w:tc>
        <w:tc>
          <w:tcPr>
            <w:tcW w:w="2410" w:type="dxa"/>
            <w:vAlign w:val="bottom"/>
          </w:tcPr>
          <w:p>
            <w:pPr>
              <w:jc w:val="right"/>
              <w:rPr>
                <w:rFonts w:ascii="宋体" w:hAnsi="宋体" w:cs="宋体"/>
                <w:color w:val="auto"/>
                <w:sz w:val="18"/>
                <w:szCs w:val="18"/>
              </w:rPr>
            </w:pPr>
            <w:r>
              <w:rPr>
                <w:rFonts w:ascii="宋体" w:hAnsi="宋体"/>
                <w:color w:val="auto"/>
                <w:sz w:val="18"/>
                <w:szCs w:val="18"/>
              </w:rPr>
              <w:t>345,654.72</w:t>
            </w:r>
          </w:p>
        </w:tc>
        <w:tc>
          <w:tcPr>
            <w:tcW w:w="1966" w:type="dxa"/>
            <w:vAlign w:val="bottom"/>
          </w:tcPr>
          <w:p>
            <w:pPr>
              <w:jc w:val="right"/>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10.00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178" w:type="dxa"/>
            <w:vAlign w:val="bottom"/>
          </w:tcPr>
          <w:p>
            <w:pPr>
              <w:rPr>
                <w:rFonts w:ascii="宋体" w:hAnsi="宋体"/>
                <w:color w:val="auto"/>
                <w:sz w:val="18"/>
                <w:szCs w:val="18"/>
              </w:rPr>
            </w:pPr>
            <w:r>
              <w:rPr>
                <w:rFonts w:ascii="宋体" w:hAnsi="宋体"/>
                <w:color w:val="auto"/>
                <w:sz w:val="18"/>
                <w:szCs w:val="18"/>
              </w:rPr>
              <w:t>2至3年（含3年）</w:t>
            </w:r>
          </w:p>
        </w:tc>
        <w:tc>
          <w:tcPr>
            <w:tcW w:w="2476" w:type="dxa"/>
            <w:vAlign w:val="bottom"/>
          </w:tcPr>
          <w:p>
            <w:pPr>
              <w:jc w:val="right"/>
              <w:rPr>
                <w:rFonts w:ascii="宋体" w:hAnsi="宋体" w:cs="宋体"/>
                <w:color w:val="auto"/>
                <w:sz w:val="18"/>
                <w:szCs w:val="18"/>
              </w:rPr>
            </w:pPr>
            <w:r>
              <w:rPr>
                <w:rFonts w:ascii="宋体" w:hAnsi="宋体"/>
                <w:color w:val="auto"/>
                <w:sz w:val="18"/>
                <w:szCs w:val="18"/>
              </w:rPr>
              <w:t>2,253,677.07</w:t>
            </w:r>
          </w:p>
        </w:tc>
        <w:tc>
          <w:tcPr>
            <w:tcW w:w="2410" w:type="dxa"/>
            <w:vAlign w:val="bottom"/>
          </w:tcPr>
          <w:p>
            <w:pPr>
              <w:jc w:val="right"/>
              <w:rPr>
                <w:rFonts w:ascii="宋体" w:hAnsi="宋体" w:cs="宋体"/>
                <w:color w:val="auto"/>
                <w:sz w:val="18"/>
                <w:szCs w:val="18"/>
              </w:rPr>
            </w:pPr>
            <w:r>
              <w:rPr>
                <w:rFonts w:ascii="宋体" w:hAnsi="宋体"/>
                <w:color w:val="auto"/>
                <w:sz w:val="18"/>
                <w:szCs w:val="18"/>
              </w:rPr>
              <w:t>676,103.12</w:t>
            </w:r>
          </w:p>
        </w:tc>
        <w:tc>
          <w:tcPr>
            <w:tcW w:w="1966" w:type="dxa"/>
            <w:vAlign w:val="bottom"/>
          </w:tcPr>
          <w:p>
            <w:pPr>
              <w:jc w:val="right"/>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30.00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178" w:type="dxa"/>
            <w:vAlign w:val="bottom"/>
          </w:tcPr>
          <w:p>
            <w:pPr>
              <w:rPr>
                <w:rFonts w:ascii="宋体" w:hAnsi="宋体"/>
                <w:color w:val="auto"/>
                <w:sz w:val="18"/>
                <w:szCs w:val="18"/>
              </w:rPr>
            </w:pPr>
            <w:r>
              <w:rPr>
                <w:rFonts w:ascii="宋体" w:hAnsi="宋体"/>
                <w:color w:val="auto"/>
                <w:sz w:val="18"/>
                <w:szCs w:val="18"/>
              </w:rPr>
              <w:t>3至4年（含4年）</w:t>
            </w:r>
          </w:p>
        </w:tc>
        <w:tc>
          <w:tcPr>
            <w:tcW w:w="2476" w:type="dxa"/>
            <w:vAlign w:val="bottom"/>
          </w:tcPr>
          <w:p>
            <w:pPr>
              <w:jc w:val="right"/>
              <w:rPr>
                <w:rFonts w:ascii="宋体" w:hAnsi="宋体" w:cs="宋体"/>
                <w:color w:val="auto"/>
                <w:sz w:val="18"/>
                <w:szCs w:val="18"/>
              </w:rPr>
            </w:pPr>
            <w:r>
              <w:rPr>
                <w:rFonts w:ascii="宋体" w:hAnsi="宋体"/>
                <w:color w:val="auto"/>
                <w:sz w:val="18"/>
                <w:szCs w:val="18"/>
              </w:rPr>
              <w:t>1,410,758.43</w:t>
            </w:r>
          </w:p>
        </w:tc>
        <w:tc>
          <w:tcPr>
            <w:tcW w:w="2410" w:type="dxa"/>
            <w:vAlign w:val="bottom"/>
          </w:tcPr>
          <w:p>
            <w:pPr>
              <w:jc w:val="right"/>
              <w:rPr>
                <w:rFonts w:ascii="宋体" w:hAnsi="宋体" w:cs="宋体"/>
                <w:color w:val="auto"/>
                <w:sz w:val="18"/>
                <w:szCs w:val="18"/>
              </w:rPr>
            </w:pPr>
            <w:r>
              <w:rPr>
                <w:rFonts w:ascii="宋体" w:hAnsi="宋体"/>
                <w:color w:val="auto"/>
                <w:sz w:val="18"/>
                <w:szCs w:val="18"/>
              </w:rPr>
              <w:t>705,379.22</w:t>
            </w:r>
          </w:p>
        </w:tc>
        <w:tc>
          <w:tcPr>
            <w:tcW w:w="1966" w:type="dxa"/>
            <w:vAlign w:val="bottom"/>
          </w:tcPr>
          <w:p>
            <w:pPr>
              <w:jc w:val="right"/>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50.00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178" w:type="dxa"/>
            <w:vAlign w:val="bottom"/>
          </w:tcPr>
          <w:p>
            <w:pPr>
              <w:rPr>
                <w:rFonts w:ascii="宋体" w:hAnsi="宋体"/>
                <w:color w:val="auto"/>
                <w:sz w:val="18"/>
                <w:szCs w:val="18"/>
              </w:rPr>
            </w:pPr>
            <w:r>
              <w:rPr>
                <w:rFonts w:ascii="宋体" w:hAnsi="宋体"/>
                <w:color w:val="auto"/>
                <w:sz w:val="18"/>
                <w:szCs w:val="18"/>
              </w:rPr>
              <w:t>4至5年（含5年）</w:t>
            </w:r>
          </w:p>
        </w:tc>
        <w:tc>
          <w:tcPr>
            <w:tcW w:w="2476" w:type="dxa"/>
            <w:vAlign w:val="bottom"/>
          </w:tcPr>
          <w:p>
            <w:pPr>
              <w:jc w:val="right"/>
              <w:rPr>
                <w:rFonts w:ascii="宋体" w:hAnsi="宋体" w:cs="宋体"/>
                <w:color w:val="auto"/>
                <w:sz w:val="18"/>
                <w:szCs w:val="18"/>
              </w:rPr>
            </w:pPr>
            <w:r>
              <w:rPr>
                <w:rFonts w:ascii="宋体" w:hAnsi="宋体"/>
                <w:color w:val="auto"/>
                <w:sz w:val="18"/>
                <w:szCs w:val="18"/>
              </w:rPr>
              <w:t>1,592,964.49</w:t>
            </w:r>
          </w:p>
        </w:tc>
        <w:tc>
          <w:tcPr>
            <w:tcW w:w="2410" w:type="dxa"/>
            <w:vAlign w:val="bottom"/>
          </w:tcPr>
          <w:p>
            <w:pPr>
              <w:jc w:val="right"/>
              <w:rPr>
                <w:rFonts w:ascii="宋体" w:hAnsi="宋体" w:cs="宋体"/>
                <w:color w:val="auto"/>
                <w:sz w:val="18"/>
                <w:szCs w:val="18"/>
              </w:rPr>
            </w:pPr>
            <w:r>
              <w:rPr>
                <w:rFonts w:ascii="宋体" w:hAnsi="宋体"/>
                <w:color w:val="auto"/>
                <w:sz w:val="18"/>
                <w:szCs w:val="18"/>
              </w:rPr>
              <w:t>1,274,371.59</w:t>
            </w:r>
          </w:p>
        </w:tc>
        <w:tc>
          <w:tcPr>
            <w:tcW w:w="1966" w:type="dxa"/>
            <w:vAlign w:val="bottom"/>
          </w:tcPr>
          <w:p>
            <w:pPr>
              <w:jc w:val="right"/>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80.00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178" w:type="dxa"/>
            <w:tcBorders>
              <w:bottom w:val="single" w:color="auto" w:sz="12" w:space="0"/>
            </w:tcBorders>
            <w:vAlign w:val="bottom"/>
          </w:tcPr>
          <w:p>
            <w:pPr>
              <w:rPr>
                <w:rFonts w:ascii="宋体" w:hAnsi="宋体"/>
                <w:color w:val="auto"/>
                <w:sz w:val="18"/>
                <w:szCs w:val="18"/>
              </w:rPr>
            </w:pPr>
            <w:r>
              <w:rPr>
                <w:rFonts w:ascii="宋体" w:hAnsi="宋体"/>
                <w:color w:val="auto"/>
                <w:sz w:val="18"/>
                <w:szCs w:val="18"/>
              </w:rPr>
              <w:t>5年以上</w:t>
            </w:r>
          </w:p>
        </w:tc>
        <w:tc>
          <w:tcPr>
            <w:tcW w:w="2476" w:type="dxa"/>
            <w:tcBorders>
              <w:bottom w:val="single" w:color="auto" w:sz="12" w:space="0"/>
            </w:tcBorders>
            <w:vAlign w:val="bottom"/>
          </w:tcPr>
          <w:p>
            <w:pPr>
              <w:jc w:val="right"/>
              <w:rPr>
                <w:rFonts w:ascii="宋体" w:hAnsi="宋体" w:cs="宋体"/>
                <w:color w:val="auto"/>
                <w:sz w:val="18"/>
                <w:szCs w:val="18"/>
              </w:rPr>
            </w:pPr>
            <w:r>
              <w:rPr>
                <w:rFonts w:ascii="宋体" w:hAnsi="宋体"/>
                <w:color w:val="auto"/>
                <w:sz w:val="18"/>
                <w:szCs w:val="18"/>
              </w:rPr>
              <w:t>1,352,485.95</w:t>
            </w:r>
          </w:p>
        </w:tc>
        <w:tc>
          <w:tcPr>
            <w:tcW w:w="2410" w:type="dxa"/>
            <w:tcBorders>
              <w:bottom w:val="single" w:color="auto" w:sz="12" w:space="0"/>
            </w:tcBorders>
            <w:vAlign w:val="bottom"/>
          </w:tcPr>
          <w:p>
            <w:pPr>
              <w:jc w:val="right"/>
              <w:rPr>
                <w:rFonts w:ascii="宋体" w:hAnsi="宋体" w:cs="宋体"/>
                <w:color w:val="auto"/>
                <w:sz w:val="18"/>
                <w:szCs w:val="18"/>
              </w:rPr>
            </w:pPr>
            <w:r>
              <w:rPr>
                <w:rFonts w:ascii="宋体" w:hAnsi="宋体"/>
                <w:color w:val="auto"/>
                <w:sz w:val="18"/>
                <w:szCs w:val="18"/>
              </w:rPr>
              <w:t>1,352,485.95</w:t>
            </w:r>
          </w:p>
        </w:tc>
        <w:tc>
          <w:tcPr>
            <w:tcW w:w="1966" w:type="dxa"/>
            <w:tcBorders>
              <w:bottom w:val="single" w:color="auto" w:sz="12" w:space="0"/>
            </w:tcBorders>
            <w:vAlign w:val="bottom"/>
          </w:tcPr>
          <w:p>
            <w:pPr>
              <w:jc w:val="right"/>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100.00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178" w:type="dxa"/>
            <w:tcBorders>
              <w:top w:val="single" w:color="auto" w:sz="12" w:space="0"/>
              <w:bottom w:val="single" w:color="auto" w:sz="12" w:space="0"/>
            </w:tcBorders>
            <w:vAlign w:val="bottom"/>
          </w:tcPr>
          <w:p>
            <w:pPr>
              <w:jc w:val="center"/>
              <w:rPr>
                <w:rFonts w:ascii="宋体"/>
                <w:b/>
                <w:bCs/>
                <w:color w:val="auto"/>
                <w:sz w:val="18"/>
                <w:szCs w:val="18"/>
              </w:rPr>
            </w:pPr>
            <w:r>
              <w:rPr>
                <w:rFonts w:hint="eastAsia" w:ascii="宋体"/>
                <w:b/>
                <w:bCs/>
                <w:color w:val="auto"/>
                <w:sz w:val="18"/>
                <w:szCs w:val="18"/>
              </w:rPr>
              <w:t>合计</w:t>
            </w:r>
          </w:p>
        </w:tc>
        <w:tc>
          <w:tcPr>
            <w:tcW w:w="2476" w:type="dxa"/>
            <w:tcBorders>
              <w:top w:val="single" w:color="auto" w:sz="12" w:space="0"/>
              <w:bottom w:val="single" w:color="auto" w:sz="12" w:space="0"/>
            </w:tcBorders>
            <w:vAlign w:val="bottom"/>
          </w:tcPr>
          <w:p>
            <w:pPr>
              <w:jc w:val="right"/>
              <w:rPr>
                <w:rFonts w:ascii="宋体" w:hAnsi="宋体" w:cs="宋体"/>
                <w:b/>
                <w:bCs/>
                <w:color w:val="auto"/>
                <w:sz w:val="18"/>
                <w:szCs w:val="18"/>
              </w:rPr>
            </w:pPr>
            <w:r>
              <w:rPr>
                <w:rFonts w:ascii="宋体" w:hAnsi="宋体"/>
                <w:b/>
                <w:bCs/>
                <w:color w:val="auto"/>
                <w:sz w:val="18"/>
                <w:szCs w:val="18"/>
              </w:rPr>
              <w:t>87,904,025.70</w:t>
            </w:r>
          </w:p>
        </w:tc>
        <w:tc>
          <w:tcPr>
            <w:tcW w:w="2410" w:type="dxa"/>
            <w:tcBorders>
              <w:top w:val="single" w:color="auto" w:sz="12" w:space="0"/>
              <w:bottom w:val="single" w:color="auto" w:sz="12" w:space="0"/>
            </w:tcBorders>
            <w:vAlign w:val="bottom"/>
          </w:tcPr>
          <w:p>
            <w:pPr>
              <w:jc w:val="right"/>
              <w:rPr>
                <w:rFonts w:ascii="宋体" w:hAnsi="宋体" w:cs="宋体"/>
                <w:b/>
                <w:bCs/>
                <w:color w:val="auto"/>
                <w:sz w:val="18"/>
                <w:szCs w:val="18"/>
              </w:rPr>
            </w:pPr>
            <w:r>
              <w:rPr>
                <w:rFonts w:ascii="宋体" w:hAnsi="宋体"/>
                <w:b/>
                <w:bCs/>
                <w:color w:val="auto"/>
                <w:sz w:val="18"/>
                <w:szCs w:val="18"/>
              </w:rPr>
              <w:t>8,245,874.23</w:t>
            </w:r>
          </w:p>
        </w:tc>
        <w:tc>
          <w:tcPr>
            <w:tcW w:w="1966" w:type="dxa"/>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p>
        </w:tc>
      </w:tr>
    </w:tbl>
    <w:p>
      <w:pPr>
        <w:tabs>
          <w:tab w:val="left" w:pos="2398"/>
        </w:tabs>
        <w:spacing w:before="150" w:beforeLines="50" w:after="150" w:afterLines="50" w:line="360" w:lineRule="auto"/>
        <w:ind w:firstLine="420" w:firstLineChars="200"/>
        <w:rPr>
          <w:rFonts w:ascii="宋体" w:hAnsi="宋体"/>
          <w:bCs/>
          <w:color w:val="auto"/>
          <w:szCs w:val="21"/>
        </w:rPr>
      </w:pPr>
      <w:r>
        <w:rPr>
          <w:rFonts w:ascii="宋体" w:hAnsi="宋体"/>
          <w:bCs/>
          <w:color w:val="auto"/>
          <w:szCs w:val="21"/>
        </w:rPr>
        <w:t>（</w:t>
      </w:r>
      <w:r>
        <w:rPr>
          <w:rFonts w:hint="eastAsia" w:ascii="宋体" w:hAnsi="宋体"/>
          <w:bCs/>
          <w:color w:val="auto"/>
          <w:szCs w:val="21"/>
        </w:rPr>
        <w:t>2</w:t>
      </w:r>
      <w:r>
        <w:rPr>
          <w:rFonts w:ascii="宋体" w:hAnsi="宋体"/>
          <w:bCs/>
          <w:color w:val="auto"/>
          <w:szCs w:val="21"/>
        </w:rPr>
        <w:t>）本期计提、收回或转回的坏账准备情况</w:t>
      </w:r>
      <w:r>
        <w:rPr>
          <w:rFonts w:hint="eastAsia" w:ascii="宋体" w:hAnsi="宋体"/>
          <w:bCs/>
          <w:color w:val="auto"/>
          <w:szCs w:val="21"/>
        </w:rPr>
        <w:t>：</w:t>
      </w:r>
    </w:p>
    <w:tbl>
      <w:tblPr>
        <w:tblStyle w:val="9"/>
        <w:tblW w:w="5000" w:type="pct"/>
        <w:tblCaption w:val="&quot;\\lisheng\共享\1、伟隆2022年度审计\1、2022年度审计\1、附注及报告\2022年\附注计算-伟隆 - 2022.xlsx&quot; &quot;2022附注格式!_ReportTable_0019&quot;"/>
        <w:tblDescription w:val="A79:F83"/>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28" w:type="dxa"/>
          <w:bottom w:w="0" w:type="dxa"/>
          <w:right w:w="28" w:type="dxa"/>
        </w:tblCellMar>
      </w:tblPr>
      <w:tblGrid>
        <w:gridCol w:w="2031"/>
        <w:gridCol w:w="1692"/>
        <w:gridCol w:w="1307"/>
        <w:gridCol w:w="1435"/>
        <w:gridCol w:w="1615"/>
        <w:gridCol w:w="1613"/>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48" w:type="pct"/>
            <w:vMerge w:val="restart"/>
            <w:tcBorders>
              <w:top w:val="single" w:color="auto" w:sz="12" w:space="0"/>
              <w:bottom w:val="single" w:color="auto" w:sz="8" w:space="0"/>
              <w:right w:val="single" w:color="auto" w:sz="4" w:space="0"/>
            </w:tcBorders>
            <w:shd w:val="clear" w:color="auto" w:fill="auto"/>
            <w:vAlign w:val="center"/>
          </w:tcPr>
          <w:p>
            <w:pPr>
              <w:jc w:val="center"/>
              <w:rPr>
                <w:rFonts w:ascii="宋体"/>
                <w:b/>
                <w:bCs/>
                <w:color w:val="auto"/>
                <w:sz w:val="18"/>
                <w:szCs w:val="18"/>
              </w:rPr>
            </w:pPr>
            <w:r>
              <w:rPr>
                <w:rFonts w:hint="eastAsia" w:ascii="宋体"/>
                <w:b/>
                <w:bCs/>
                <w:color w:val="auto"/>
                <w:sz w:val="18"/>
                <w:szCs w:val="18"/>
              </w:rPr>
              <w:t>类别</w:t>
            </w:r>
          </w:p>
        </w:tc>
        <w:tc>
          <w:tcPr>
            <w:tcW w:w="873" w:type="pct"/>
            <w:vMerge w:val="restart"/>
            <w:tcBorders>
              <w:top w:val="single" w:color="auto" w:sz="12" w:space="0"/>
              <w:left w:val="single" w:color="auto" w:sz="4" w:space="0"/>
              <w:bottom w:val="single" w:color="auto" w:sz="8" w:space="0"/>
              <w:right w:val="single" w:color="auto" w:sz="4" w:space="0"/>
            </w:tcBorders>
            <w:shd w:val="clear" w:color="auto" w:fill="auto"/>
            <w:vAlign w:val="center"/>
          </w:tcPr>
          <w:p>
            <w:pPr>
              <w:jc w:val="center"/>
              <w:rPr>
                <w:b/>
                <w:color w:val="auto"/>
                <w:sz w:val="18"/>
                <w:szCs w:val="18"/>
                <w:shd w:val="clear" w:color="auto" w:fill="FFFFFF"/>
              </w:rPr>
            </w:pPr>
            <w:r>
              <w:rPr>
                <w:rFonts w:hint="eastAsia" w:ascii="宋体"/>
                <w:b/>
                <w:bCs/>
                <w:color w:val="auto"/>
                <w:sz w:val="18"/>
                <w:szCs w:val="18"/>
              </w:rPr>
              <w:t>期初余额</w:t>
            </w:r>
          </w:p>
        </w:tc>
        <w:tc>
          <w:tcPr>
            <w:tcW w:w="2246" w:type="pct"/>
            <w:gridSpan w:val="3"/>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b/>
                <w:color w:val="auto"/>
                <w:sz w:val="18"/>
                <w:szCs w:val="18"/>
                <w:shd w:val="clear" w:color="auto" w:fill="FFFFFF"/>
              </w:rPr>
            </w:pPr>
            <w:r>
              <w:rPr>
                <w:rFonts w:hint="eastAsia"/>
                <w:b/>
                <w:color w:val="auto"/>
                <w:sz w:val="18"/>
                <w:szCs w:val="18"/>
                <w:shd w:val="clear" w:color="auto" w:fill="FFFFFF"/>
              </w:rPr>
              <w:t>本期变动金额</w:t>
            </w:r>
          </w:p>
        </w:tc>
        <w:tc>
          <w:tcPr>
            <w:tcW w:w="832" w:type="pct"/>
            <w:vMerge w:val="restart"/>
            <w:tcBorders>
              <w:top w:val="single" w:color="auto" w:sz="12" w:space="0"/>
              <w:left w:val="single" w:color="auto" w:sz="4" w:space="0"/>
              <w:bottom w:val="single" w:color="auto" w:sz="8" w:space="0"/>
            </w:tcBorders>
            <w:shd w:val="clear" w:color="auto" w:fill="auto"/>
            <w:vAlign w:val="center"/>
          </w:tcPr>
          <w:p>
            <w:pPr>
              <w:jc w:val="center"/>
              <w:rPr>
                <w:b/>
                <w:color w:val="auto"/>
                <w:sz w:val="18"/>
                <w:szCs w:val="18"/>
                <w:shd w:val="clear" w:color="auto" w:fill="FFFFFF"/>
              </w:rPr>
            </w:pPr>
            <w:r>
              <w:rPr>
                <w:rFonts w:hint="eastAsia" w:ascii="宋体"/>
                <w:b/>
                <w:bCs/>
                <w:color w:val="auto"/>
                <w:sz w:val="18"/>
                <w:szCs w:val="18"/>
              </w:rPr>
              <w:t>期末余额</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48" w:type="pct"/>
            <w:vMerge w:val="continue"/>
            <w:tcBorders>
              <w:top w:val="single" w:color="auto" w:sz="8" w:space="0"/>
              <w:bottom w:val="single" w:color="auto" w:sz="12" w:space="0"/>
              <w:right w:val="single" w:color="auto" w:sz="4" w:space="0"/>
            </w:tcBorders>
            <w:shd w:val="clear" w:color="auto" w:fill="auto"/>
            <w:vAlign w:val="center"/>
          </w:tcPr>
          <w:p>
            <w:pPr>
              <w:jc w:val="center"/>
              <w:rPr>
                <w:b/>
                <w:color w:val="auto"/>
                <w:sz w:val="18"/>
                <w:szCs w:val="18"/>
                <w:shd w:val="clear" w:color="auto" w:fill="FFFFFF"/>
              </w:rPr>
            </w:pPr>
          </w:p>
        </w:tc>
        <w:tc>
          <w:tcPr>
            <w:tcW w:w="873" w:type="pct"/>
            <w:vMerge w:val="continue"/>
            <w:tcBorders>
              <w:top w:val="single" w:color="auto" w:sz="8" w:space="0"/>
              <w:left w:val="single" w:color="auto" w:sz="4" w:space="0"/>
              <w:bottom w:val="single" w:color="auto" w:sz="12" w:space="0"/>
              <w:right w:val="single" w:color="auto" w:sz="4" w:space="0"/>
            </w:tcBorders>
            <w:shd w:val="clear" w:color="auto" w:fill="auto"/>
            <w:vAlign w:val="center"/>
          </w:tcPr>
          <w:p>
            <w:pPr>
              <w:jc w:val="center"/>
              <w:rPr>
                <w:b/>
                <w:color w:val="auto"/>
                <w:sz w:val="18"/>
                <w:szCs w:val="18"/>
                <w:shd w:val="clear" w:color="auto" w:fill="FFFFFF"/>
              </w:rPr>
            </w:pPr>
          </w:p>
        </w:tc>
        <w:tc>
          <w:tcPr>
            <w:tcW w:w="674" w:type="pct"/>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b/>
                <w:color w:val="auto"/>
                <w:sz w:val="18"/>
                <w:szCs w:val="18"/>
                <w:shd w:val="clear" w:color="auto" w:fill="FFFFFF"/>
              </w:rPr>
            </w:pPr>
            <w:r>
              <w:rPr>
                <w:rFonts w:hint="eastAsia"/>
                <w:b/>
                <w:color w:val="auto"/>
                <w:sz w:val="18"/>
                <w:szCs w:val="18"/>
                <w:shd w:val="clear" w:color="auto" w:fill="FFFFFF"/>
              </w:rPr>
              <w:t>计提</w:t>
            </w:r>
          </w:p>
        </w:tc>
        <w:tc>
          <w:tcPr>
            <w:tcW w:w="740" w:type="pct"/>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b/>
                <w:color w:val="auto"/>
                <w:sz w:val="18"/>
                <w:szCs w:val="18"/>
                <w:shd w:val="clear" w:color="auto" w:fill="FFFFFF"/>
              </w:rPr>
            </w:pPr>
            <w:r>
              <w:rPr>
                <w:rFonts w:hint="eastAsia"/>
                <w:b/>
                <w:color w:val="auto"/>
                <w:sz w:val="18"/>
                <w:szCs w:val="18"/>
                <w:shd w:val="clear" w:color="auto" w:fill="FFFFFF"/>
              </w:rPr>
              <w:t>收回或转回</w:t>
            </w:r>
          </w:p>
        </w:tc>
        <w:tc>
          <w:tcPr>
            <w:tcW w:w="833" w:type="pct"/>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b/>
                <w:color w:val="auto"/>
                <w:sz w:val="18"/>
                <w:szCs w:val="18"/>
                <w:shd w:val="clear" w:color="auto" w:fill="FFFFFF"/>
              </w:rPr>
            </w:pPr>
            <w:r>
              <w:rPr>
                <w:rFonts w:hint="eastAsia"/>
                <w:b/>
                <w:color w:val="auto"/>
                <w:sz w:val="18"/>
                <w:szCs w:val="18"/>
                <w:shd w:val="clear" w:color="auto" w:fill="FFFFFF"/>
              </w:rPr>
              <w:t>核销</w:t>
            </w:r>
          </w:p>
        </w:tc>
        <w:tc>
          <w:tcPr>
            <w:tcW w:w="832" w:type="pct"/>
            <w:vMerge w:val="continue"/>
            <w:tcBorders>
              <w:top w:val="single" w:color="auto" w:sz="8" w:space="0"/>
              <w:left w:val="single" w:color="auto" w:sz="4" w:space="0"/>
              <w:bottom w:val="single" w:color="auto" w:sz="12" w:space="0"/>
            </w:tcBorders>
            <w:vAlign w:val="center"/>
          </w:tcPr>
          <w:p>
            <w:pPr>
              <w:jc w:val="center"/>
              <w:rPr>
                <w:color w:val="auto"/>
                <w:sz w:val="18"/>
                <w:szCs w:val="18"/>
                <w:shd w:val="clear" w:color="auto" w:fill="FFFFFF"/>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48" w:type="pct"/>
            <w:tcBorders>
              <w:top w:val="single" w:color="auto" w:sz="12" w:space="0"/>
              <w:bottom w:val="single" w:color="auto" w:sz="4" w:space="0"/>
              <w:right w:val="single" w:color="auto" w:sz="4" w:space="0"/>
            </w:tcBorders>
            <w:vAlign w:val="bottom"/>
          </w:tcPr>
          <w:p>
            <w:pPr>
              <w:jc w:val="center"/>
              <w:rPr>
                <w:color w:val="auto"/>
                <w:sz w:val="18"/>
                <w:szCs w:val="18"/>
                <w:shd w:val="clear" w:color="auto" w:fill="FFFFFF"/>
              </w:rPr>
            </w:pPr>
            <w:r>
              <w:rPr>
                <w:rFonts w:hint="eastAsia"/>
                <w:color w:val="auto"/>
                <w:sz w:val="18"/>
                <w:szCs w:val="18"/>
              </w:rPr>
              <w:t>按单项计提坏账准备</w:t>
            </w:r>
          </w:p>
        </w:tc>
        <w:tc>
          <w:tcPr>
            <w:tcW w:w="873"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674"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110,903.49</w:t>
            </w:r>
          </w:p>
        </w:tc>
        <w:tc>
          <w:tcPr>
            <w:tcW w:w="740"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833"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832" w:type="pct"/>
            <w:tcBorders>
              <w:top w:val="single" w:color="auto" w:sz="12" w:space="0"/>
              <w:left w:val="single" w:color="auto" w:sz="4" w:space="0"/>
              <w:bottom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110,903.49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48" w:type="pct"/>
            <w:tcBorders>
              <w:top w:val="single" w:color="auto" w:sz="4" w:space="0"/>
              <w:bottom w:val="single" w:color="auto" w:sz="12" w:space="0"/>
              <w:right w:val="single" w:color="auto" w:sz="4" w:space="0"/>
            </w:tcBorders>
            <w:vAlign w:val="bottom"/>
          </w:tcPr>
          <w:p>
            <w:pPr>
              <w:jc w:val="center"/>
              <w:rPr>
                <w:color w:val="auto"/>
                <w:sz w:val="18"/>
                <w:szCs w:val="18"/>
                <w:shd w:val="clear" w:color="auto" w:fill="FFFFFF"/>
              </w:rPr>
            </w:pPr>
            <w:r>
              <w:rPr>
                <w:rFonts w:hint="eastAsia"/>
                <w:color w:val="auto"/>
                <w:sz w:val="18"/>
                <w:szCs w:val="18"/>
              </w:rPr>
              <w:t>按组合计提坏账准备</w:t>
            </w:r>
          </w:p>
        </w:tc>
        <w:tc>
          <w:tcPr>
            <w:tcW w:w="873" w:type="pct"/>
            <w:tcBorders>
              <w:top w:val="single" w:color="auto" w:sz="4"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7,255,856.18 </w:t>
            </w:r>
          </w:p>
        </w:tc>
        <w:tc>
          <w:tcPr>
            <w:tcW w:w="674" w:type="pct"/>
            <w:tcBorders>
              <w:top w:val="single" w:color="auto" w:sz="4" w:space="0"/>
              <w:left w:val="single" w:color="auto" w:sz="4" w:space="0"/>
              <w:bottom w:val="single" w:color="auto" w:sz="12" w:space="0"/>
              <w:right w:val="single" w:color="auto" w:sz="4" w:space="0"/>
            </w:tcBorders>
            <w:vAlign w:val="bottom"/>
          </w:tcPr>
          <w:p>
            <w:pPr>
              <w:jc w:val="righ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1,181,440.37 </w:t>
            </w:r>
          </w:p>
        </w:tc>
        <w:tc>
          <w:tcPr>
            <w:tcW w:w="740" w:type="pct"/>
            <w:tcBorders>
              <w:top w:val="single" w:color="auto" w:sz="4"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833" w:type="pct"/>
            <w:tcBorders>
              <w:top w:val="single" w:color="auto" w:sz="4"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191,422.32 </w:t>
            </w:r>
          </w:p>
        </w:tc>
        <w:tc>
          <w:tcPr>
            <w:tcW w:w="832" w:type="pct"/>
            <w:tcBorders>
              <w:top w:val="single" w:color="auto" w:sz="4" w:space="0"/>
              <w:left w:val="single" w:color="auto" w:sz="4" w:space="0"/>
              <w:bottom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8,245,874.23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48" w:type="pct"/>
            <w:tcBorders>
              <w:top w:val="single" w:color="auto" w:sz="12" w:space="0"/>
              <w:bottom w:val="single" w:color="auto" w:sz="12" w:space="0"/>
              <w:right w:val="single" w:color="auto" w:sz="4" w:space="0"/>
            </w:tcBorders>
            <w:shd w:val="clear" w:color="auto" w:fill="auto"/>
            <w:vAlign w:val="bottom"/>
          </w:tcPr>
          <w:p>
            <w:pPr>
              <w:jc w:val="center"/>
              <w:rPr>
                <w:rFonts w:ascii="宋体"/>
                <w:b/>
                <w:bCs/>
                <w:color w:val="auto"/>
                <w:sz w:val="18"/>
                <w:szCs w:val="18"/>
              </w:rPr>
            </w:pPr>
            <w:r>
              <w:rPr>
                <w:rFonts w:hint="eastAsia" w:ascii="宋体"/>
                <w:b/>
                <w:bCs/>
                <w:color w:val="auto"/>
                <w:sz w:val="18"/>
                <w:szCs w:val="18"/>
              </w:rPr>
              <w:t>合计</w:t>
            </w:r>
          </w:p>
        </w:tc>
        <w:tc>
          <w:tcPr>
            <w:tcW w:w="873" w:type="pct"/>
            <w:tcBorders>
              <w:top w:val="single" w:color="auto" w:sz="12" w:space="0"/>
              <w:left w:val="single" w:color="auto" w:sz="4" w:space="0"/>
              <w:bottom w:val="single" w:color="auto" w:sz="12" w:space="0"/>
              <w:right w:val="single" w:color="auto" w:sz="4" w:space="0"/>
            </w:tcBorders>
            <w:shd w:val="clear" w:color="auto" w:fill="auto"/>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7,255,856.18 </w:t>
            </w:r>
          </w:p>
        </w:tc>
        <w:tc>
          <w:tcPr>
            <w:tcW w:w="674" w:type="pct"/>
            <w:tcBorders>
              <w:top w:val="single" w:color="auto" w:sz="12" w:space="0"/>
              <w:left w:val="single" w:color="auto" w:sz="4" w:space="0"/>
              <w:bottom w:val="single" w:color="auto" w:sz="12" w:space="0"/>
              <w:right w:val="single" w:color="auto" w:sz="4" w:space="0"/>
            </w:tcBorders>
            <w:shd w:val="clear" w:color="auto" w:fill="auto"/>
            <w:vAlign w:val="bottom"/>
          </w:tcPr>
          <w:p>
            <w:pPr>
              <w:jc w:val="right"/>
              <w:rPr>
                <w:rFonts w:asciiTheme="minorEastAsia" w:hAnsiTheme="minorEastAsia" w:eastAsiaTheme="minorEastAsia"/>
                <w:b/>
                <w:color w:val="auto"/>
                <w:sz w:val="18"/>
                <w:szCs w:val="18"/>
              </w:rPr>
            </w:pPr>
            <w:r>
              <w:rPr>
                <w:rFonts w:hint="eastAsia" w:asciiTheme="minorEastAsia" w:hAnsiTheme="minorEastAsia" w:eastAsiaTheme="minorEastAsia"/>
                <w:b/>
                <w:bCs/>
                <w:color w:val="auto"/>
                <w:sz w:val="18"/>
                <w:szCs w:val="18"/>
              </w:rPr>
              <w:t xml:space="preserve">1,292,343.86 </w:t>
            </w:r>
          </w:p>
        </w:tc>
        <w:tc>
          <w:tcPr>
            <w:tcW w:w="740" w:type="pct"/>
            <w:tcBorders>
              <w:top w:val="single" w:color="auto" w:sz="12" w:space="0"/>
              <w:left w:val="single" w:color="auto" w:sz="4" w:space="0"/>
              <w:bottom w:val="single" w:color="auto" w:sz="12" w:space="0"/>
              <w:right w:val="single" w:color="auto" w:sz="4" w:space="0"/>
            </w:tcBorders>
            <w:shd w:val="clear" w:color="auto" w:fill="auto"/>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w:t>
            </w:r>
          </w:p>
        </w:tc>
        <w:tc>
          <w:tcPr>
            <w:tcW w:w="833" w:type="pct"/>
            <w:tcBorders>
              <w:top w:val="single" w:color="auto" w:sz="12" w:space="0"/>
              <w:left w:val="single" w:color="auto" w:sz="4" w:space="0"/>
              <w:bottom w:val="single" w:color="auto" w:sz="12" w:space="0"/>
              <w:right w:val="single" w:color="auto" w:sz="4" w:space="0"/>
            </w:tcBorders>
            <w:shd w:val="clear" w:color="auto" w:fill="auto"/>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191,422.32 </w:t>
            </w:r>
          </w:p>
        </w:tc>
        <w:tc>
          <w:tcPr>
            <w:tcW w:w="832" w:type="pct"/>
            <w:tcBorders>
              <w:top w:val="single" w:color="auto" w:sz="12" w:space="0"/>
              <w:left w:val="single" w:color="auto" w:sz="4" w:space="0"/>
              <w:bottom w:val="single" w:color="auto" w:sz="12" w:space="0"/>
            </w:tcBorders>
            <w:shd w:val="clear" w:color="auto" w:fill="auto"/>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8,356,777.72 </w:t>
            </w:r>
          </w:p>
        </w:tc>
      </w:tr>
    </w:tbl>
    <w:p>
      <w:pPr>
        <w:tabs>
          <w:tab w:val="left" w:pos="2398"/>
        </w:tabs>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（3）报告期实际核销的应收账款：</w:t>
      </w:r>
    </w:p>
    <w:tbl>
      <w:tblPr>
        <w:tblStyle w:val="9"/>
        <w:tblW w:w="5000" w:type="pct"/>
        <w:tblInd w:w="0" w:type="dxa"/>
        <w:tblBorders>
          <w:top w:val="single" w:color="auto" w:sz="12" w:space="0"/>
          <w:left w:val="none" w:color="auto" w:sz="0" w:space="0"/>
          <w:bottom w:val="single" w:color="auto" w:sz="12" w:space="0"/>
          <w:right w:val="none" w:color="auto" w:sz="0" w:space="0"/>
          <w:insideH w:val="single" w:color="auto" w:sz="12" w:space="0"/>
          <w:insideV w:val="single" w:color="auto" w:sz="6" w:space="0"/>
        </w:tblBorders>
        <w:tblLayout w:type="autofit"/>
        <w:tblCellMar>
          <w:top w:w="0" w:type="dxa"/>
          <w:left w:w="108" w:type="dxa"/>
          <w:bottom w:w="0" w:type="dxa"/>
          <w:right w:w="108" w:type="dxa"/>
        </w:tblCellMar>
      </w:tblPr>
      <w:tblGrid>
        <w:gridCol w:w="4926"/>
        <w:gridCol w:w="4927"/>
      </w:tblGrid>
      <w:tr>
        <w:tblPrEx>
          <w:tblBorders>
            <w:top w:val="single" w:color="auto" w:sz="12" w:space="0"/>
            <w:left w:val="none" w:color="auto" w:sz="0" w:space="0"/>
            <w:bottom w:val="single" w:color="auto" w:sz="12" w:space="0"/>
            <w:right w:val="none" w:color="auto" w:sz="0" w:space="0"/>
            <w:insideH w:val="single" w:color="auto" w:sz="12" w:space="0"/>
            <w:insideV w:val="single" w:color="auto" w:sz="6" w:space="0"/>
          </w:tblBorders>
          <w:tblCellMar>
            <w:top w:w="0" w:type="dxa"/>
            <w:left w:w="108" w:type="dxa"/>
            <w:bottom w:w="0" w:type="dxa"/>
            <w:right w:w="108" w:type="dxa"/>
          </w:tblCellMar>
        </w:tblPrEx>
        <w:trPr>
          <w:trHeight w:val="454" w:hRule="exact"/>
        </w:trPr>
        <w:tc>
          <w:tcPr>
            <w:tcW w:w="2500" w:type="pct"/>
            <w:vAlign w:val="center"/>
          </w:tcPr>
          <w:p>
            <w:pPr>
              <w:jc w:val="center"/>
              <w:rPr>
                <w:b/>
                <w:color w:val="auto"/>
                <w:sz w:val="18"/>
                <w:szCs w:val="18"/>
              </w:rPr>
            </w:pPr>
            <w:r>
              <w:rPr>
                <w:b/>
                <w:color w:val="auto"/>
                <w:sz w:val="18"/>
                <w:szCs w:val="18"/>
              </w:rPr>
              <w:t>项目</w:t>
            </w:r>
          </w:p>
        </w:tc>
        <w:tc>
          <w:tcPr>
            <w:tcW w:w="2500" w:type="pct"/>
            <w:vAlign w:val="center"/>
          </w:tcPr>
          <w:p>
            <w:pPr>
              <w:snapToGrid w:val="0"/>
              <w:jc w:val="center"/>
              <w:rPr>
                <w:b/>
                <w:color w:val="auto"/>
                <w:sz w:val="18"/>
                <w:szCs w:val="18"/>
              </w:rPr>
            </w:pPr>
            <w:r>
              <w:rPr>
                <w:rFonts w:hint="eastAsia"/>
                <w:b/>
                <w:color w:val="auto"/>
                <w:sz w:val="18"/>
                <w:szCs w:val="18"/>
              </w:rPr>
              <w:t>核销金额</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6" w:space="0"/>
          </w:tblBorders>
          <w:tblCellMar>
            <w:top w:w="0" w:type="dxa"/>
            <w:left w:w="108" w:type="dxa"/>
            <w:bottom w:w="0" w:type="dxa"/>
            <w:right w:w="108" w:type="dxa"/>
          </w:tblCellMar>
        </w:tblPrEx>
        <w:trPr>
          <w:trHeight w:val="454" w:hRule="exact"/>
        </w:trPr>
        <w:tc>
          <w:tcPr>
            <w:tcW w:w="2500" w:type="pct"/>
            <w:vAlign w:val="bottom"/>
          </w:tcPr>
          <w:p>
            <w:pPr>
              <w:jc w:val="left"/>
              <w:rPr>
                <w:rFonts w:ascii="宋体" w:hAnsi="宋体" w:cs="宋体"/>
                <w:color w:val="auto"/>
                <w:sz w:val="18"/>
                <w:szCs w:val="18"/>
              </w:rPr>
            </w:pPr>
            <w:r>
              <w:rPr>
                <w:rFonts w:hint="eastAsia" w:ascii="宋体" w:hAnsi="宋体" w:cs="宋体"/>
                <w:color w:val="auto"/>
                <w:sz w:val="18"/>
                <w:szCs w:val="18"/>
              </w:rPr>
              <w:t>应收账款核销</w:t>
            </w:r>
          </w:p>
        </w:tc>
        <w:tc>
          <w:tcPr>
            <w:tcW w:w="2500" w:type="pct"/>
            <w:vAlign w:val="bottom"/>
          </w:tcPr>
          <w:p>
            <w:pPr>
              <w:jc w:val="right"/>
              <w:rPr>
                <w:rFonts w:ascii="宋体" w:hAnsi="宋体" w:cs="宋体"/>
                <w:color w:val="auto"/>
                <w:sz w:val="18"/>
                <w:szCs w:val="18"/>
              </w:rPr>
            </w:pPr>
            <w:r>
              <w:rPr>
                <w:rFonts w:ascii="宋体" w:hAnsi="宋体"/>
                <w:color w:val="auto"/>
                <w:sz w:val="18"/>
                <w:szCs w:val="18"/>
              </w:rPr>
              <w:t>463,691.03</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6" w:space="0"/>
          </w:tblBorders>
          <w:tblCellMar>
            <w:top w:w="0" w:type="dxa"/>
            <w:left w:w="108" w:type="dxa"/>
            <w:bottom w:w="0" w:type="dxa"/>
            <w:right w:w="108" w:type="dxa"/>
          </w:tblCellMar>
        </w:tblPrEx>
        <w:trPr>
          <w:trHeight w:val="454" w:hRule="exact"/>
        </w:trPr>
        <w:tc>
          <w:tcPr>
            <w:tcW w:w="2500" w:type="pct"/>
            <w:vAlign w:val="bottom"/>
          </w:tcPr>
          <w:p>
            <w:pPr>
              <w:jc w:val="center"/>
              <w:rPr>
                <w:rFonts w:ascii="宋体" w:hAnsi="宋体" w:cs="宋体"/>
                <w:b/>
                <w:bCs/>
                <w:color w:val="auto"/>
                <w:sz w:val="18"/>
                <w:szCs w:val="18"/>
              </w:rPr>
            </w:pPr>
            <w:r>
              <w:rPr>
                <w:rFonts w:hint="eastAsia"/>
                <w:b/>
                <w:bCs/>
                <w:color w:val="auto"/>
                <w:sz w:val="18"/>
                <w:szCs w:val="18"/>
              </w:rPr>
              <w:t>合计</w:t>
            </w:r>
          </w:p>
        </w:tc>
        <w:tc>
          <w:tcPr>
            <w:tcW w:w="2500" w:type="pct"/>
            <w:vAlign w:val="bottom"/>
          </w:tcPr>
          <w:p>
            <w:pPr>
              <w:jc w:val="right"/>
              <w:rPr>
                <w:rFonts w:ascii="宋体" w:hAnsi="宋体" w:cs="宋体"/>
                <w:b/>
                <w:bCs/>
                <w:color w:val="auto"/>
                <w:sz w:val="18"/>
                <w:szCs w:val="18"/>
              </w:rPr>
            </w:pPr>
            <w:r>
              <w:rPr>
                <w:rFonts w:ascii="宋体" w:hAnsi="宋体" w:cs="宋体"/>
                <w:b/>
                <w:bCs/>
                <w:color w:val="auto"/>
                <w:sz w:val="18"/>
                <w:szCs w:val="18"/>
              </w:rPr>
              <w:t>463,691.03</w:t>
            </w:r>
          </w:p>
        </w:tc>
      </w:tr>
    </w:tbl>
    <w:p>
      <w:pPr>
        <w:tabs>
          <w:tab w:val="left" w:pos="2398"/>
        </w:tabs>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（4）按欠款方归集的期末余额前五名的应收账款情况：</w:t>
      </w:r>
    </w:p>
    <w:tbl>
      <w:tblPr>
        <w:tblStyle w:val="9"/>
        <w:tblW w:w="0" w:type="auto"/>
        <w:tblCaption w:val="&quot;\\lisheng\共享\1、伟隆2022年度审计\1、2022年度审计\1、附注及报告\2022年\附注计算-伟隆 - 2022.xlsx&quot; &quot;2022附注格式!_ReportTable_0020&quot;"/>
        <w:tblDescription w:val="A86:D93"/>
        <w:tblInd w:w="107" w:type="dxa"/>
        <w:tblLayout w:type="fixed"/>
        <w:tblCellMar>
          <w:top w:w="0" w:type="dxa"/>
          <w:left w:w="107" w:type="dxa"/>
          <w:bottom w:w="0" w:type="dxa"/>
          <w:right w:w="107" w:type="dxa"/>
        </w:tblCellMar>
      </w:tblPr>
      <w:tblGrid>
        <w:gridCol w:w="2977"/>
        <w:gridCol w:w="2126"/>
        <w:gridCol w:w="1701"/>
        <w:gridCol w:w="2127"/>
      </w:tblGrid>
      <w:tr>
        <w:trPr>
          <w:cantSplit/>
          <w:trHeight w:val="454" w:hRule="atLeast"/>
        </w:trPr>
        <w:tc>
          <w:tcPr>
            <w:tcW w:w="2977" w:type="dxa"/>
            <w:vMerge w:val="restart"/>
            <w:tcBorders>
              <w:top w:val="single" w:color="000000" w:sz="12" w:space="0"/>
              <w:right w:val="single" w:color="auto" w:sz="4" w:space="0"/>
            </w:tcBorders>
            <w:vAlign w:val="center"/>
          </w:tcPr>
          <w:p>
            <w:pPr>
              <w:spacing w:line="276" w:lineRule="auto"/>
              <w:jc w:val="center"/>
              <w:rPr>
                <w:rFonts w:ascii="宋体" w:hAnsi="宋体"/>
                <w:b/>
                <w:bCs/>
                <w:color w:val="auto"/>
                <w:sz w:val="18"/>
                <w:szCs w:val="18"/>
              </w:rPr>
            </w:pPr>
            <w:r>
              <w:rPr>
                <w:rFonts w:hint="eastAsia" w:ascii="宋体" w:hAnsi="宋体"/>
                <w:b/>
                <w:bCs/>
                <w:color w:val="auto"/>
                <w:sz w:val="18"/>
                <w:szCs w:val="18"/>
              </w:rPr>
              <w:t>单位名称</w:t>
            </w:r>
          </w:p>
        </w:tc>
        <w:tc>
          <w:tcPr>
            <w:tcW w:w="5954" w:type="dxa"/>
            <w:gridSpan w:val="3"/>
            <w:tcBorders>
              <w:top w:val="single" w:color="000000" w:sz="12" w:space="0"/>
              <w:left w:val="single" w:color="auto" w:sz="4" w:space="0"/>
              <w:bottom w:val="single" w:color="auto" w:sz="4" w:space="0"/>
            </w:tcBorders>
            <w:vAlign w:val="center"/>
          </w:tcPr>
          <w:p>
            <w:pPr>
              <w:spacing w:line="276" w:lineRule="auto"/>
              <w:jc w:val="center"/>
              <w:rPr>
                <w:rFonts w:ascii="宋体" w:hAnsi="宋体"/>
                <w:b/>
                <w:bCs/>
                <w:color w:val="auto"/>
                <w:sz w:val="18"/>
                <w:szCs w:val="18"/>
              </w:rPr>
            </w:pPr>
            <w:r>
              <w:rPr>
                <w:rFonts w:hint="eastAsia" w:ascii="宋体" w:hAnsi="宋体"/>
                <w:b/>
                <w:bCs/>
                <w:color w:val="auto"/>
                <w:sz w:val="18"/>
                <w:szCs w:val="18"/>
              </w:rPr>
              <w:t>期末余额</w:t>
            </w:r>
          </w:p>
        </w:tc>
      </w:tr>
      <w:tr>
        <w:tblPrEx>
          <w:tblCellMar>
            <w:top w:w="0" w:type="dxa"/>
            <w:left w:w="107" w:type="dxa"/>
            <w:bottom w:w="0" w:type="dxa"/>
            <w:right w:w="107" w:type="dxa"/>
          </w:tblCellMar>
        </w:tblPrEx>
        <w:trPr>
          <w:cantSplit/>
          <w:trHeight w:val="454" w:hRule="atLeast"/>
        </w:trPr>
        <w:tc>
          <w:tcPr>
            <w:tcW w:w="2977" w:type="dxa"/>
            <w:vMerge w:val="continue"/>
            <w:tcBorders>
              <w:bottom w:val="single" w:color="auto" w:sz="12" w:space="0"/>
              <w:right w:val="single" w:color="auto" w:sz="4" w:space="0"/>
            </w:tcBorders>
            <w:vAlign w:val="center"/>
          </w:tcPr>
          <w:p>
            <w:pPr>
              <w:spacing w:line="276" w:lineRule="auto"/>
              <w:jc w:val="center"/>
              <w:rPr>
                <w:rFonts w:ascii="宋体" w:hAnsi="宋体"/>
                <w:b/>
                <w:bCs/>
                <w:color w:val="auto"/>
                <w:sz w:val="18"/>
                <w:szCs w:val="18"/>
              </w:rPr>
            </w:pPr>
          </w:p>
        </w:tc>
        <w:tc>
          <w:tcPr>
            <w:tcW w:w="2126" w:type="dxa"/>
            <w:tcBorders>
              <w:top w:val="single" w:color="auto" w:sz="4" w:space="0"/>
              <w:left w:val="single" w:color="auto" w:sz="4" w:space="0"/>
              <w:bottom w:val="single" w:color="auto" w:sz="12" w:space="0"/>
              <w:right w:val="single" w:color="auto" w:sz="4" w:space="0"/>
            </w:tcBorders>
            <w:vAlign w:val="center"/>
          </w:tcPr>
          <w:p>
            <w:pPr>
              <w:spacing w:line="276" w:lineRule="auto"/>
              <w:jc w:val="center"/>
              <w:rPr>
                <w:rFonts w:ascii="宋体" w:hAnsi="宋体"/>
                <w:b/>
                <w:bCs/>
                <w:color w:val="auto"/>
                <w:sz w:val="18"/>
                <w:szCs w:val="18"/>
              </w:rPr>
            </w:pPr>
            <w:r>
              <w:rPr>
                <w:rFonts w:hint="eastAsia" w:ascii="宋体" w:hAnsi="宋体"/>
                <w:b/>
                <w:bCs/>
                <w:color w:val="auto"/>
                <w:sz w:val="18"/>
                <w:szCs w:val="18"/>
              </w:rPr>
              <w:t>应收账款</w:t>
            </w:r>
          </w:p>
        </w:tc>
        <w:tc>
          <w:tcPr>
            <w:tcW w:w="1701" w:type="dxa"/>
            <w:tcBorders>
              <w:top w:val="single" w:color="auto" w:sz="4" w:space="0"/>
              <w:left w:val="single" w:color="auto" w:sz="4" w:space="0"/>
              <w:bottom w:val="single" w:color="auto" w:sz="12" w:space="0"/>
              <w:right w:val="single" w:color="auto" w:sz="4" w:space="0"/>
            </w:tcBorders>
            <w:vAlign w:val="center"/>
          </w:tcPr>
          <w:p>
            <w:pPr>
              <w:spacing w:line="276" w:lineRule="auto"/>
              <w:jc w:val="center"/>
              <w:rPr>
                <w:rFonts w:ascii="宋体" w:hAnsi="宋体"/>
                <w:b/>
                <w:bCs/>
                <w:color w:val="auto"/>
                <w:sz w:val="18"/>
                <w:szCs w:val="18"/>
              </w:rPr>
            </w:pPr>
            <w:r>
              <w:rPr>
                <w:rFonts w:hint="eastAsia" w:ascii="宋体" w:hAnsi="宋体"/>
                <w:b/>
                <w:bCs/>
                <w:color w:val="auto"/>
                <w:sz w:val="18"/>
                <w:szCs w:val="18"/>
              </w:rPr>
              <w:t>占应收账款合计数的比例（</w:t>
            </w:r>
            <w:r>
              <w:rPr>
                <w:rFonts w:ascii="宋体" w:hAnsi="宋体"/>
                <w:b/>
                <w:bCs/>
                <w:color w:val="auto"/>
                <w:sz w:val="18"/>
                <w:szCs w:val="18"/>
              </w:rPr>
              <w:t>%）</w:t>
            </w:r>
          </w:p>
        </w:tc>
        <w:tc>
          <w:tcPr>
            <w:tcW w:w="2127" w:type="dxa"/>
            <w:tcBorders>
              <w:top w:val="single" w:color="auto" w:sz="4" w:space="0"/>
              <w:bottom w:val="single" w:color="auto" w:sz="12" w:space="0"/>
              <w:right w:val="nil"/>
            </w:tcBorders>
            <w:vAlign w:val="center"/>
          </w:tcPr>
          <w:p>
            <w:pPr>
              <w:spacing w:line="276" w:lineRule="auto"/>
              <w:jc w:val="center"/>
              <w:rPr>
                <w:rFonts w:ascii="宋体" w:hAnsi="宋体"/>
                <w:b/>
                <w:bCs/>
                <w:color w:val="auto"/>
                <w:sz w:val="18"/>
                <w:szCs w:val="18"/>
              </w:rPr>
            </w:pPr>
            <w:r>
              <w:rPr>
                <w:rFonts w:hint="eastAsia" w:ascii="宋体" w:hAnsi="宋体"/>
                <w:b/>
                <w:bCs/>
                <w:color w:val="auto"/>
                <w:sz w:val="18"/>
                <w:szCs w:val="18"/>
              </w:rPr>
              <w:t>坏账准备</w:t>
            </w:r>
          </w:p>
        </w:tc>
      </w:tr>
      <w:tr>
        <w:trPr>
          <w:cantSplit/>
          <w:trHeight w:val="454" w:hRule="atLeast"/>
        </w:trPr>
        <w:tc>
          <w:tcPr>
            <w:tcW w:w="2977" w:type="dxa"/>
            <w:tcBorders>
              <w:top w:val="single" w:color="auto" w:sz="12" w:space="0"/>
              <w:bottom w:val="single" w:color="auto" w:sz="4" w:space="0"/>
              <w:right w:val="single" w:color="auto" w:sz="4" w:space="0"/>
            </w:tcBorders>
            <w:vAlign w:val="bottom"/>
          </w:tcPr>
          <w:p>
            <w:pPr>
              <w:rPr>
                <w:rFonts w:ascii="宋体" w:hAnsi="宋体" w:cs="宋体"/>
                <w:color w:val="auto"/>
                <w:sz w:val="18"/>
                <w:szCs w:val="18"/>
              </w:rPr>
            </w:pPr>
            <w:r>
              <w:rPr>
                <w:rFonts w:cs="宋体" w:asciiTheme="majorEastAsia" w:hAnsiTheme="majorEastAsia" w:eastAsiaTheme="majorEastAsia"/>
                <w:color w:val="auto"/>
                <w:sz w:val="18"/>
                <w:szCs w:val="18"/>
              </w:rPr>
              <w:t>客户一</w:t>
            </w:r>
          </w:p>
        </w:tc>
        <w:tc>
          <w:tcPr>
            <w:tcW w:w="2126" w:type="dxa"/>
            <w:tcBorders>
              <w:top w:val="single" w:color="auto" w:sz="12"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7,315,742.11</w:t>
            </w:r>
          </w:p>
        </w:tc>
        <w:tc>
          <w:tcPr>
            <w:tcW w:w="1701" w:type="dxa"/>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8.31 </w:t>
            </w:r>
          </w:p>
        </w:tc>
        <w:tc>
          <w:tcPr>
            <w:tcW w:w="2127" w:type="dxa"/>
            <w:tcBorders>
              <w:top w:val="single" w:color="auto" w:sz="12"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365,787.11</w:t>
            </w:r>
          </w:p>
        </w:tc>
      </w:tr>
      <w:tr>
        <w:trPr>
          <w:cantSplit/>
          <w:trHeight w:val="454" w:hRule="atLeast"/>
        </w:trPr>
        <w:tc>
          <w:tcPr>
            <w:tcW w:w="2977" w:type="dxa"/>
            <w:tcBorders>
              <w:top w:val="single" w:color="auto" w:sz="4" w:space="0"/>
              <w:bottom w:val="single" w:color="auto" w:sz="4" w:space="0"/>
              <w:right w:val="single" w:color="auto" w:sz="4" w:space="0"/>
            </w:tcBorders>
            <w:vAlign w:val="bottom"/>
          </w:tcPr>
          <w:p>
            <w:pPr>
              <w:rPr>
                <w:rFonts w:ascii="宋体" w:hAnsi="宋体"/>
                <w:color w:val="auto"/>
                <w:sz w:val="18"/>
              </w:rPr>
            </w:pPr>
            <w:r>
              <w:rPr>
                <w:rFonts w:cs="宋体" w:asciiTheme="majorEastAsia" w:hAnsiTheme="majorEastAsia" w:eastAsiaTheme="majorEastAsia"/>
                <w:color w:val="auto"/>
                <w:sz w:val="18"/>
                <w:szCs w:val="18"/>
              </w:rPr>
              <w:t>客户二</w:t>
            </w:r>
          </w:p>
        </w:tc>
        <w:tc>
          <w:tcPr>
            <w:tcW w:w="2126"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4,948,728.01</w:t>
            </w:r>
          </w:p>
        </w:tc>
        <w:tc>
          <w:tcPr>
            <w:tcW w:w="1701"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5.62 </w:t>
            </w:r>
          </w:p>
        </w:tc>
        <w:tc>
          <w:tcPr>
            <w:tcW w:w="2127" w:type="dxa"/>
            <w:tcBorders>
              <w:top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247,436.40</w:t>
            </w:r>
          </w:p>
        </w:tc>
      </w:tr>
      <w:tr>
        <w:trPr>
          <w:cantSplit/>
          <w:trHeight w:val="454" w:hRule="atLeast"/>
        </w:trPr>
        <w:tc>
          <w:tcPr>
            <w:tcW w:w="2977" w:type="dxa"/>
            <w:tcBorders>
              <w:top w:val="single" w:color="auto" w:sz="4" w:space="0"/>
              <w:bottom w:val="single" w:color="auto" w:sz="4" w:space="0"/>
              <w:right w:val="single" w:color="auto" w:sz="4" w:space="0"/>
            </w:tcBorders>
            <w:vAlign w:val="bottom"/>
          </w:tcPr>
          <w:p>
            <w:pPr>
              <w:jc w:val="left"/>
              <w:rPr>
                <w:rFonts w:ascii="宋体" w:hAnsi="宋体"/>
                <w:color w:val="auto"/>
                <w:sz w:val="18"/>
              </w:rPr>
            </w:pPr>
            <w:r>
              <w:rPr>
                <w:rFonts w:cs="宋体" w:asciiTheme="majorEastAsia" w:hAnsiTheme="majorEastAsia" w:eastAsiaTheme="majorEastAsia"/>
                <w:color w:val="auto"/>
                <w:sz w:val="18"/>
                <w:szCs w:val="18"/>
              </w:rPr>
              <w:t>客户三</w:t>
            </w:r>
          </w:p>
        </w:tc>
        <w:tc>
          <w:tcPr>
            <w:tcW w:w="2126"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3,690,135.09</w:t>
            </w:r>
          </w:p>
        </w:tc>
        <w:tc>
          <w:tcPr>
            <w:tcW w:w="1701"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4.19 </w:t>
            </w:r>
          </w:p>
        </w:tc>
        <w:tc>
          <w:tcPr>
            <w:tcW w:w="2127" w:type="dxa"/>
            <w:tcBorders>
              <w:top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184,506.75</w:t>
            </w:r>
          </w:p>
        </w:tc>
      </w:tr>
      <w:tr>
        <w:trPr>
          <w:cantSplit/>
          <w:trHeight w:val="454" w:hRule="atLeast"/>
        </w:trPr>
        <w:tc>
          <w:tcPr>
            <w:tcW w:w="2977" w:type="dxa"/>
            <w:tcBorders>
              <w:top w:val="single" w:color="auto" w:sz="4" w:space="0"/>
              <w:bottom w:val="single" w:color="auto" w:sz="4" w:space="0"/>
              <w:right w:val="single" w:color="auto" w:sz="4" w:space="0"/>
            </w:tcBorders>
            <w:vAlign w:val="bottom"/>
          </w:tcPr>
          <w:p>
            <w:pPr>
              <w:jc w:val="left"/>
              <w:rPr>
                <w:rFonts w:ascii="宋体" w:hAnsi="宋体"/>
                <w:color w:val="auto"/>
                <w:sz w:val="18"/>
              </w:rPr>
            </w:pPr>
            <w:r>
              <w:rPr>
                <w:rFonts w:cs="宋体" w:asciiTheme="majorEastAsia" w:hAnsiTheme="majorEastAsia" w:eastAsiaTheme="majorEastAsia"/>
                <w:color w:val="auto"/>
                <w:sz w:val="18"/>
                <w:szCs w:val="18"/>
              </w:rPr>
              <w:t>客户四</w:t>
            </w:r>
          </w:p>
        </w:tc>
        <w:tc>
          <w:tcPr>
            <w:tcW w:w="2126"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3,580,632.36</w:t>
            </w:r>
          </w:p>
        </w:tc>
        <w:tc>
          <w:tcPr>
            <w:tcW w:w="1701"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4.07 </w:t>
            </w:r>
          </w:p>
        </w:tc>
        <w:tc>
          <w:tcPr>
            <w:tcW w:w="2127" w:type="dxa"/>
            <w:tcBorders>
              <w:top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179,031.62</w:t>
            </w:r>
          </w:p>
        </w:tc>
      </w:tr>
      <w:tr>
        <w:trPr>
          <w:cantSplit/>
          <w:trHeight w:val="454" w:hRule="atLeast"/>
        </w:trPr>
        <w:tc>
          <w:tcPr>
            <w:tcW w:w="2977" w:type="dxa"/>
            <w:tcBorders>
              <w:top w:val="single" w:color="auto" w:sz="4" w:space="0"/>
              <w:bottom w:val="single" w:color="auto" w:sz="4" w:space="0"/>
              <w:right w:val="single" w:color="auto" w:sz="4" w:space="0"/>
            </w:tcBorders>
            <w:vAlign w:val="bottom"/>
          </w:tcPr>
          <w:p>
            <w:pPr>
              <w:rPr>
                <w:rFonts w:ascii="宋体" w:hAnsi="宋体"/>
                <w:color w:val="auto"/>
                <w:sz w:val="18"/>
              </w:rPr>
            </w:pPr>
            <w:r>
              <w:rPr>
                <w:rFonts w:cs="宋体" w:asciiTheme="majorEastAsia" w:hAnsiTheme="majorEastAsia" w:eastAsiaTheme="majorEastAsia"/>
                <w:color w:val="auto"/>
                <w:sz w:val="18"/>
                <w:szCs w:val="18"/>
              </w:rPr>
              <w:t>客户五</w:t>
            </w:r>
          </w:p>
        </w:tc>
        <w:tc>
          <w:tcPr>
            <w:tcW w:w="2126"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3,565,634.22</w:t>
            </w:r>
          </w:p>
        </w:tc>
        <w:tc>
          <w:tcPr>
            <w:tcW w:w="1701"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4.05 </w:t>
            </w:r>
          </w:p>
        </w:tc>
        <w:tc>
          <w:tcPr>
            <w:tcW w:w="2127" w:type="dxa"/>
            <w:tcBorders>
              <w:top w:val="single" w:color="auto" w:sz="4" w:space="0"/>
              <w:bottom w:val="single" w:color="auto" w:sz="12"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178,281.71</w:t>
            </w:r>
          </w:p>
        </w:tc>
      </w:tr>
      <w:tr>
        <w:trPr>
          <w:cantSplit/>
          <w:trHeight w:val="454" w:hRule="atLeast"/>
        </w:trPr>
        <w:tc>
          <w:tcPr>
            <w:tcW w:w="2977" w:type="dxa"/>
            <w:tcBorders>
              <w:top w:val="single" w:color="auto" w:sz="12" w:space="0"/>
              <w:bottom w:val="single" w:color="auto" w:sz="12" w:space="0"/>
              <w:right w:val="single" w:color="auto" w:sz="4" w:space="0"/>
            </w:tcBorders>
            <w:vAlign w:val="bottom"/>
          </w:tcPr>
          <w:p>
            <w:pPr>
              <w:jc w:val="center"/>
              <w:rPr>
                <w:rFonts w:cs="宋体" w:asciiTheme="majorEastAsia" w:hAnsiTheme="majorEastAsia" w:eastAsiaTheme="majorEastAsia"/>
                <w:b/>
                <w:bCs/>
                <w:color w:val="auto"/>
                <w:sz w:val="18"/>
                <w:szCs w:val="18"/>
              </w:rPr>
            </w:pPr>
            <w:r>
              <w:rPr>
                <w:rFonts w:hint="eastAsia" w:asciiTheme="majorEastAsia" w:hAnsiTheme="majorEastAsia" w:eastAsiaTheme="majorEastAsia"/>
                <w:b/>
                <w:bCs/>
                <w:color w:val="auto"/>
                <w:sz w:val="18"/>
                <w:szCs w:val="18"/>
              </w:rPr>
              <w:t>合计</w:t>
            </w:r>
          </w:p>
        </w:tc>
        <w:tc>
          <w:tcPr>
            <w:tcW w:w="2126" w:type="dxa"/>
            <w:tcBorders>
              <w:top w:val="single" w:color="auto" w:sz="12"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b/>
                <w:bCs/>
                <w:color w:val="auto"/>
                <w:sz w:val="18"/>
                <w:szCs w:val="18"/>
              </w:rPr>
              <w:t>23,100,871.79</w:t>
            </w:r>
          </w:p>
        </w:tc>
        <w:tc>
          <w:tcPr>
            <w:tcW w:w="1701" w:type="dxa"/>
            <w:tcBorders>
              <w:top w:val="single" w:color="auto" w:sz="12" w:space="0"/>
              <w:left w:val="single" w:color="auto" w:sz="4" w:space="0"/>
              <w:bottom w:val="single" w:color="auto" w:sz="12" w:space="0"/>
              <w:right w:val="single" w:color="auto" w:sz="4" w:space="0"/>
            </w:tcBorders>
            <w:vAlign w:val="bottom"/>
          </w:tcPr>
          <w:p>
            <w:pPr>
              <w:jc w:val="right"/>
              <w:rPr>
                <w:rFonts w:ascii="宋体" w:hAnsi="宋体" w:cs="宋体"/>
                <w:b/>
                <w:bCs/>
                <w:color w:val="auto"/>
                <w:sz w:val="18"/>
                <w:szCs w:val="18"/>
              </w:rPr>
            </w:pPr>
            <w:r>
              <w:rPr>
                <w:rFonts w:hint="eastAsia" w:ascii="宋体" w:hAnsi="宋体"/>
                <w:b/>
                <w:bCs/>
                <w:color w:val="auto"/>
                <w:sz w:val="18"/>
                <w:szCs w:val="18"/>
              </w:rPr>
              <w:t xml:space="preserve">26.24 </w:t>
            </w:r>
          </w:p>
        </w:tc>
        <w:tc>
          <w:tcPr>
            <w:tcW w:w="2127" w:type="dxa"/>
            <w:tcBorders>
              <w:top w:val="single" w:color="auto" w:sz="12" w:space="0"/>
              <w:bottom w:val="single" w:color="auto" w:sz="12" w:space="0"/>
              <w:right w:val="nil"/>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b/>
                <w:bCs/>
                <w:color w:val="auto"/>
                <w:sz w:val="18"/>
                <w:szCs w:val="18"/>
              </w:rPr>
              <w:t>1,155,043.59</w:t>
            </w:r>
          </w:p>
        </w:tc>
      </w:tr>
    </w:tbl>
    <w:p>
      <w:pPr>
        <w:tabs>
          <w:tab w:val="left" w:pos="2398"/>
        </w:tabs>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（5）应收账款中无应收关联方款项。</w:t>
      </w:r>
    </w:p>
    <w:p>
      <w:pPr>
        <w:tabs>
          <w:tab w:val="left" w:pos="2398"/>
        </w:tabs>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（6）报告期内公司无以应收账款为标的进行证券化的交易情况。</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5、应收款项融资</w:t>
      </w:r>
    </w:p>
    <w:p>
      <w:pPr>
        <w:spacing w:before="150" w:beforeLines="50" w:after="150" w:afterLines="50" w:line="360" w:lineRule="auto"/>
        <w:ind w:firstLine="420" w:firstLineChars="200"/>
        <w:rPr>
          <w:color w:val="auto"/>
        </w:rPr>
      </w:pPr>
      <w:r>
        <w:rPr>
          <w:rFonts w:hint="eastAsia" w:asciiTheme="minorEastAsia" w:hAnsiTheme="minorEastAsia" w:eastAsiaTheme="minorEastAsia"/>
          <w:bCs/>
          <w:color w:val="auto"/>
          <w:szCs w:val="21"/>
        </w:rPr>
        <w:t>（1）</w:t>
      </w:r>
      <w:r>
        <w:rPr>
          <w:rFonts w:hint="eastAsia" w:ascii="宋体" w:hAnsi="宋体"/>
          <w:color w:val="auto"/>
          <w:szCs w:val="21"/>
        </w:rPr>
        <w:t>应收款项融资分类列示：</w:t>
      </w:r>
    </w:p>
    <w:tbl>
      <w:tblPr>
        <w:tblStyle w:val="9"/>
        <w:tblW w:w="0" w:type="auto"/>
        <w:tblCaption w:val="&quot;\\lisheng\共享\1、伟隆2022年度审计\1、2022年度审计\1、附注及报告\2022年\附注计算-伟隆 - 2022.xlsx&quot; &quot;2022附注格式!_ReportTable_0021&quot;"/>
        <w:tblDescription w:val="A98:C101"/>
        <w:tblInd w:w="107" w:type="dxa"/>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Layout w:type="fixed"/>
        <w:tblCellMar>
          <w:top w:w="0" w:type="dxa"/>
          <w:left w:w="107" w:type="dxa"/>
          <w:bottom w:w="0" w:type="dxa"/>
          <w:right w:w="107" w:type="dxa"/>
        </w:tblCellMar>
      </w:tblPr>
      <w:tblGrid>
        <w:gridCol w:w="2908"/>
        <w:gridCol w:w="3011"/>
        <w:gridCol w:w="3012"/>
      </w:tblGrid>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107" w:type="dxa"/>
            <w:bottom w:w="0" w:type="dxa"/>
            <w:right w:w="107" w:type="dxa"/>
          </w:tblCellMar>
        </w:tblPrEx>
        <w:trPr>
          <w:cantSplit/>
          <w:trHeight w:val="454" w:hRule="atLeast"/>
        </w:trPr>
        <w:tc>
          <w:tcPr>
            <w:tcW w:w="2908" w:type="dxa"/>
            <w:vAlign w:val="center"/>
          </w:tcPr>
          <w:p>
            <w:pPr>
              <w:jc w:val="center"/>
              <w:rPr>
                <w:rFonts w:ascii="宋体" w:hAnsi="宋体"/>
                <w:b/>
                <w:color w:val="auto"/>
                <w:sz w:val="18"/>
                <w:szCs w:val="18"/>
              </w:rPr>
            </w:pPr>
            <w:r>
              <w:rPr>
                <w:rFonts w:hint="eastAsia" w:ascii="宋体" w:hAnsi="宋体"/>
                <w:b/>
                <w:color w:val="auto"/>
                <w:sz w:val="18"/>
                <w:szCs w:val="18"/>
              </w:rPr>
              <w:t>项</w:t>
            </w:r>
            <w:r>
              <w:rPr>
                <w:rFonts w:ascii="宋体" w:hAnsi="宋体"/>
                <w:b/>
                <w:color w:val="auto"/>
                <w:sz w:val="18"/>
                <w:szCs w:val="18"/>
              </w:rPr>
              <w:t xml:space="preserve">   目</w:t>
            </w:r>
          </w:p>
        </w:tc>
        <w:tc>
          <w:tcPr>
            <w:tcW w:w="3011" w:type="dxa"/>
            <w:vAlign w:val="center"/>
          </w:tcPr>
          <w:p>
            <w:pPr>
              <w:jc w:val="center"/>
              <w:rPr>
                <w:rFonts w:ascii="宋体" w:hAnsi="宋体"/>
                <w:b/>
                <w:color w:val="auto"/>
                <w:sz w:val="18"/>
                <w:szCs w:val="18"/>
              </w:rPr>
            </w:pPr>
            <w:r>
              <w:rPr>
                <w:rFonts w:hint="eastAsia" w:ascii="宋体" w:hAnsi="宋体"/>
                <w:b/>
                <w:color w:val="auto"/>
                <w:sz w:val="18"/>
                <w:szCs w:val="18"/>
              </w:rPr>
              <w:t>期末余额</w:t>
            </w:r>
          </w:p>
        </w:tc>
        <w:tc>
          <w:tcPr>
            <w:tcW w:w="3012" w:type="dxa"/>
            <w:vAlign w:val="center"/>
          </w:tcPr>
          <w:p>
            <w:pPr>
              <w:jc w:val="center"/>
              <w:rPr>
                <w:rFonts w:ascii="宋体" w:hAnsi="宋体"/>
                <w:b/>
                <w:color w:val="auto"/>
                <w:sz w:val="18"/>
                <w:szCs w:val="18"/>
              </w:rPr>
            </w:pPr>
            <w:r>
              <w:rPr>
                <w:rFonts w:hint="eastAsia" w:ascii="宋体" w:hAnsi="宋体"/>
                <w:b/>
                <w:color w:val="auto"/>
                <w:sz w:val="18"/>
                <w:szCs w:val="18"/>
              </w:rPr>
              <w:t>期初余额</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107" w:type="dxa"/>
            <w:bottom w:w="0" w:type="dxa"/>
            <w:right w:w="107" w:type="dxa"/>
          </w:tblCellMar>
        </w:tblPrEx>
        <w:trPr>
          <w:cantSplit/>
          <w:trHeight w:val="564" w:hRule="atLeast"/>
        </w:trPr>
        <w:tc>
          <w:tcPr>
            <w:tcW w:w="2908" w:type="dxa"/>
            <w:tcBorders>
              <w:top w:val="single" w:color="auto" w:sz="2" w:space="0"/>
            </w:tcBorders>
            <w:vAlign w:val="bottom"/>
          </w:tcPr>
          <w:p>
            <w:pPr>
              <w:rPr>
                <w:rFonts w:ascii="宋体" w:hAnsi="宋体"/>
                <w:color w:val="auto"/>
                <w:sz w:val="18"/>
                <w:szCs w:val="18"/>
              </w:rPr>
            </w:pPr>
            <w:r>
              <w:rPr>
                <w:rFonts w:hint="eastAsia" w:ascii="宋体" w:hAnsi="宋体"/>
                <w:color w:val="auto"/>
                <w:sz w:val="18"/>
                <w:szCs w:val="18"/>
              </w:rPr>
              <w:t>以公允价值计量且其变动计入其他综合收益的应收票据</w:t>
            </w:r>
          </w:p>
        </w:tc>
        <w:tc>
          <w:tcPr>
            <w:tcW w:w="3011" w:type="dxa"/>
            <w:tcBorders>
              <w:top w:val="single" w:color="auto" w:sz="2"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130,000.00</w:t>
            </w:r>
          </w:p>
        </w:tc>
        <w:tc>
          <w:tcPr>
            <w:tcW w:w="3012" w:type="dxa"/>
            <w:tcBorders>
              <w:top w:val="single" w:color="auto" w:sz="2"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11,585,000.00 </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107" w:type="dxa"/>
            <w:bottom w:w="0" w:type="dxa"/>
            <w:right w:w="107" w:type="dxa"/>
          </w:tblCellMar>
        </w:tblPrEx>
        <w:trPr>
          <w:cantSplit/>
          <w:trHeight w:val="454" w:hRule="atLeast"/>
        </w:trPr>
        <w:tc>
          <w:tcPr>
            <w:tcW w:w="2908" w:type="dxa"/>
            <w:vAlign w:val="bottom"/>
          </w:tcPr>
          <w:p>
            <w:pPr>
              <w:jc w:val="center"/>
              <w:rPr>
                <w:rFonts w:ascii="宋体" w:hAnsi="宋体"/>
                <w:b/>
                <w:color w:val="auto"/>
                <w:sz w:val="18"/>
                <w:szCs w:val="18"/>
              </w:rPr>
            </w:pPr>
            <w:r>
              <w:rPr>
                <w:rFonts w:hint="eastAsia" w:ascii="宋体" w:hAnsi="宋体"/>
                <w:b/>
                <w:color w:val="auto"/>
                <w:sz w:val="18"/>
                <w:szCs w:val="18"/>
              </w:rPr>
              <w:t>合计</w:t>
            </w:r>
          </w:p>
        </w:tc>
        <w:tc>
          <w:tcPr>
            <w:tcW w:w="3011" w:type="dxa"/>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130,000.00</w:t>
            </w:r>
          </w:p>
        </w:tc>
        <w:tc>
          <w:tcPr>
            <w:tcW w:w="3012" w:type="dxa"/>
            <w:vAlign w:val="bottom"/>
          </w:tcPr>
          <w:p>
            <w:pPr>
              <w:jc w:val="right"/>
              <w:rPr>
                <w:rFonts w:cs="宋体" w:asciiTheme="minorEastAsia" w:hAnsiTheme="minorEastAsia" w:eastAsiaTheme="minorEastAsia"/>
                <w:b/>
                <w:bCs/>
                <w:color w:val="auto"/>
                <w:sz w:val="18"/>
                <w:szCs w:val="18"/>
              </w:rPr>
            </w:pPr>
            <w:r>
              <w:rPr>
                <w:rFonts w:ascii="宋体" w:hAnsi="宋体" w:cs="宋体"/>
                <w:b/>
                <w:bCs/>
                <w:color w:val="auto"/>
                <w:kern w:val="0"/>
                <w:sz w:val="18"/>
                <w:szCs w:val="18"/>
              </w:rPr>
              <w:t xml:space="preserve">11,585,000.00 </w:t>
            </w:r>
          </w:p>
        </w:tc>
      </w:tr>
    </w:tbl>
    <w:p>
      <w:pPr>
        <w:spacing w:before="150" w:beforeLines="50" w:after="150" w:afterLines="50" w:line="360" w:lineRule="auto"/>
        <w:ind w:firstLine="420" w:firstLineChars="200"/>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（2）期末公司已背书或贴现且在资产负债表日尚未到期的应收款项融资：</w:t>
      </w:r>
    </w:p>
    <w:tbl>
      <w:tblPr>
        <w:tblStyle w:val="9"/>
        <w:tblW w:w="0" w:type="auto"/>
        <w:tblCaption w:val="&quot;\\lisheng\共享\1、伟隆2022年度审计\1、2022年度审计\1、附注及报告\2022年\附注计算-伟隆 - 2022.xlsx&quot; &quot;2022附注格式!_ReportTable_0022&quot;"/>
        <w:tblDescription w:val="A103:C105"/>
        <w:tblInd w:w="108"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2909"/>
        <w:gridCol w:w="3017"/>
        <w:gridCol w:w="3015"/>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CellMar>
            <w:top w:w="0" w:type="dxa"/>
            <w:left w:w="108" w:type="dxa"/>
            <w:bottom w:w="0" w:type="dxa"/>
            <w:right w:w="108" w:type="dxa"/>
          </w:tblCellMar>
        </w:tblPrEx>
        <w:trPr>
          <w:trHeight w:val="454" w:hRule="atLeast"/>
        </w:trPr>
        <w:tc>
          <w:tcPr>
            <w:tcW w:w="2909" w:type="dxa"/>
            <w:vAlign w:val="center"/>
          </w:tcPr>
          <w:p>
            <w:pPr>
              <w:jc w:val="center"/>
              <w:rPr>
                <w:b/>
                <w:color w:val="auto"/>
                <w:sz w:val="18"/>
                <w:szCs w:val="18"/>
              </w:rPr>
            </w:pPr>
            <w:r>
              <w:rPr>
                <w:rFonts w:hint="eastAsia"/>
                <w:b/>
                <w:color w:val="auto"/>
                <w:sz w:val="18"/>
                <w:szCs w:val="18"/>
              </w:rPr>
              <w:t>项  目</w:t>
            </w:r>
          </w:p>
        </w:tc>
        <w:tc>
          <w:tcPr>
            <w:tcW w:w="3017" w:type="dxa"/>
            <w:vAlign w:val="center"/>
          </w:tcPr>
          <w:p>
            <w:pPr>
              <w:jc w:val="center"/>
              <w:rPr>
                <w:b/>
                <w:color w:val="auto"/>
                <w:sz w:val="18"/>
                <w:szCs w:val="18"/>
              </w:rPr>
            </w:pPr>
            <w:r>
              <w:rPr>
                <w:rFonts w:hint="eastAsia"/>
                <w:b/>
                <w:color w:val="auto"/>
                <w:sz w:val="18"/>
                <w:szCs w:val="18"/>
              </w:rPr>
              <w:t>期末终止确认金额</w:t>
            </w:r>
          </w:p>
        </w:tc>
        <w:tc>
          <w:tcPr>
            <w:tcW w:w="3015" w:type="dxa"/>
            <w:vAlign w:val="center"/>
          </w:tcPr>
          <w:p>
            <w:pPr>
              <w:jc w:val="center"/>
              <w:rPr>
                <w:b/>
                <w:color w:val="auto"/>
                <w:sz w:val="18"/>
                <w:szCs w:val="18"/>
              </w:rPr>
            </w:pPr>
            <w:r>
              <w:rPr>
                <w:rFonts w:hint="eastAsia"/>
                <w:b/>
                <w:color w:val="auto"/>
                <w:sz w:val="18"/>
                <w:szCs w:val="18"/>
              </w:rPr>
              <w:t>期末未终止确认金额</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CellMar>
            <w:top w:w="0" w:type="dxa"/>
            <w:left w:w="108" w:type="dxa"/>
            <w:bottom w:w="0" w:type="dxa"/>
            <w:right w:w="108" w:type="dxa"/>
          </w:tblCellMar>
        </w:tblPrEx>
        <w:trPr>
          <w:trHeight w:val="454" w:hRule="atLeast"/>
        </w:trPr>
        <w:tc>
          <w:tcPr>
            <w:tcW w:w="2909" w:type="dxa"/>
            <w:vAlign w:val="bottom"/>
          </w:tcPr>
          <w:p>
            <w:pPr>
              <w:rPr>
                <w:color w:val="auto"/>
                <w:sz w:val="18"/>
                <w:szCs w:val="18"/>
              </w:rPr>
            </w:pPr>
            <w:r>
              <w:rPr>
                <w:rFonts w:hint="eastAsia"/>
                <w:color w:val="auto"/>
                <w:sz w:val="18"/>
                <w:szCs w:val="18"/>
              </w:rPr>
              <w:t>银行承兑汇票</w:t>
            </w:r>
          </w:p>
        </w:tc>
        <w:tc>
          <w:tcPr>
            <w:tcW w:w="3017" w:type="dxa"/>
            <w:vAlign w:val="bottom"/>
          </w:tcPr>
          <w:p>
            <w:pPr>
              <w:autoSpaceDE w:val="0"/>
              <w:autoSpaceDN w:val="0"/>
              <w:adjustRightInd w:val="0"/>
              <w:jc w:val="right"/>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 xml:space="preserve">      6,434,166.30 </w:t>
            </w:r>
          </w:p>
        </w:tc>
        <w:tc>
          <w:tcPr>
            <w:tcW w:w="3015" w:type="dxa"/>
            <w:vAlign w:val="bottom"/>
          </w:tcPr>
          <w:p>
            <w:pPr>
              <w:jc w:val="right"/>
              <w:rPr>
                <w:rFonts w:cs="宋体" w:asciiTheme="minorEastAsia" w:hAnsiTheme="minorEastAsia" w:eastAsiaTheme="minorEastAsia"/>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CellMar>
            <w:top w:w="0" w:type="dxa"/>
            <w:left w:w="108" w:type="dxa"/>
            <w:bottom w:w="0" w:type="dxa"/>
            <w:right w:w="108" w:type="dxa"/>
          </w:tblCellMar>
        </w:tblPrEx>
        <w:trPr>
          <w:trHeight w:val="454" w:hRule="atLeast"/>
        </w:trPr>
        <w:tc>
          <w:tcPr>
            <w:tcW w:w="2909" w:type="dxa"/>
            <w:vAlign w:val="bottom"/>
          </w:tcPr>
          <w:p>
            <w:pPr>
              <w:jc w:val="center"/>
              <w:rPr>
                <w:b/>
                <w:color w:val="auto"/>
                <w:sz w:val="18"/>
                <w:szCs w:val="18"/>
              </w:rPr>
            </w:pPr>
            <w:r>
              <w:rPr>
                <w:rFonts w:hint="eastAsia"/>
                <w:b/>
                <w:color w:val="auto"/>
                <w:sz w:val="18"/>
                <w:szCs w:val="18"/>
              </w:rPr>
              <w:t>合计</w:t>
            </w:r>
          </w:p>
        </w:tc>
        <w:tc>
          <w:tcPr>
            <w:tcW w:w="3017" w:type="dxa"/>
            <w:vAlign w:val="bottom"/>
          </w:tcPr>
          <w:p>
            <w:pPr>
              <w:autoSpaceDE w:val="0"/>
              <w:autoSpaceDN w:val="0"/>
              <w:adjustRightInd w:val="0"/>
              <w:jc w:val="right"/>
              <w:rPr>
                <w:rFonts w:cs="宋体" w:asciiTheme="minorEastAsia" w:hAnsiTheme="minorEastAsia" w:eastAsiaTheme="minorEastAsia"/>
                <w:b/>
                <w:bCs/>
                <w:color w:val="auto"/>
                <w:kern w:val="0"/>
                <w:sz w:val="18"/>
                <w:szCs w:val="18"/>
              </w:rPr>
            </w:pPr>
            <w:r>
              <w:rPr>
                <w:rFonts w:hint="eastAsia" w:asciiTheme="minorEastAsia" w:hAnsiTheme="minorEastAsia" w:eastAsiaTheme="minorEastAsia"/>
                <w:b/>
                <w:bCs/>
                <w:color w:val="auto"/>
                <w:sz w:val="18"/>
                <w:szCs w:val="18"/>
              </w:rPr>
              <w:t xml:space="preserve">    6,434,166.30 </w:t>
            </w:r>
          </w:p>
        </w:tc>
        <w:tc>
          <w:tcPr>
            <w:tcW w:w="3015" w:type="dxa"/>
            <w:vAlign w:val="bottom"/>
          </w:tcPr>
          <w:p>
            <w:pPr>
              <w:jc w:val="right"/>
              <w:rPr>
                <w:rFonts w:cs="宋体" w:asciiTheme="minorEastAsia" w:hAnsiTheme="minorEastAsia" w:eastAsiaTheme="minorEastAsia"/>
                <w:b/>
                <w:bCs/>
                <w:color w:val="auto"/>
                <w:sz w:val="18"/>
                <w:szCs w:val="18"/>
              </w:rPr>
            </w:pP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6、预付款项</w:t>
      </w:r>
    </w:p>
    <w:p>
      <w:pPr>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（1）预付款项按账龄列示：</w:t>
      </w:r>
    </w:p>
    <w:tbl>
      <w:tblPr>
        <w:tblStyle w:val="9"/>
        <w:tblW w:w="8925" w:type="dxa"/>
        <w:tblCaption w:val="&quot;\\lisheng\共享\1、伟隆2022年度审计\1、2022年度审计\1、附注及报告\2022年\附注计算-伟隆 - 2022.xlsx&quot; &quot;2022附注格式!_ReportTable_0023&quot;"/>
        <w:tblDescription w:val="A108:E115"/>
        <w:tblInd w:w="107" w:type="dxa"/>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Layout w:type="fixed"/>
        <w:tblCellMar>
          <w:top w:w="0" w:type="dxa"/>
          <w:left w:w="107" w:type="dxa"/>
          <w:bottom w:w="0" w:type="dxa"/>
          <w:right w:w="107" w:type="dxa"/>
        </w:tblCellMar>
      </w:tblPr>
      <w:tblGrid>
        <w:gridCol w:w="2410"/>
        <w:gridCol w:w="1843"/>
        <w:gridCol w:w="1559"/>
        <w:gridCol w:w="1701"/>
        <w:gridCol w:w="1412"/>
      </w:tblGrid>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PrEx>
        <w:trPr>
          <w:trHeight w:val="454" w:hRule="exact"/>
        </w:trPr>
        <w:tc>
          <w:tcPr>
            <w:tcW w:w="2410" w:type="dxa"/>
            <w:vMerge w:val="restart"/>
            <w:tcBorders>
              <w:top w:val="single" w:color="000000" w:sz="12" w:space="0"/>
              <w:left w:val="nil"/>
              <w:bottom w:val="single" w:color="auto" w:sz="4" w:space="0"/>
              <w:right w:val="single" w:color="auto" w:sz="4" w:space="0"/>
            </w:tcBorders>
            <w:vAlign w:val="center"/>
          </w:tcPr>
          <w:p>
            <w:pPr>
              <w:spacing w:line="360" w:lineRule="auto"/>
              <w:jc w:val="center"/>
              <w:rPr>
                <w:rFonts w:ascii="宋体" w:hAnsi="宋体"/>
                <w:b/>
                <w:color w:val="auto"/>
                <w:sz w:val="18"/>
                <w:szCs w:val="18"/>
              </w:rPr>
            </w:pPr>
            <w:r>
              <w:rPr>
                <w:rFonts w:hint="eastAsia" w:ascii="宋体" w:hAnsi="宋体"/>
                <w:b/>
                <w:color w:val="auto"/>
                <w:sz w:val="18"/>
                <w:szCs w:val="18"/>
              </w:rPr>
              <w:t>账</w:t>
            </w:r>
            <w:r>
              <w:rPr>
                <w:rFonts w:ascii="宋体" w:hAnsi="宋体"/>
                <w:b/>
                <w:color w:val="auto"/>
                <w:sz w:val="18"/>
                <w:szCs w:val="18"/>
              </w:rPr>
              <w:t>龄</w:t>
            </w:r>
          </w:p>
        </w:tc>
        <w:tc>
          <w:tcPr>
            <w:tcW w:w="3402" w:type="dxa"/>
            <w:gridSpan w:val="2"/>
            <w:tcBorders>
              <w:top w:val="single" w:color="000000" w:sz="12" w:space="0"/>
              <w:left w:val="single" w:color="auto" w:sz="4" w:space="0"/>
              <w:bottom w:val="single" w:color="auto" w:sz="4" w:space="0"/>
              <w:right w:val="single" w:color="auto" w:sz="4" w:space="0"/>
            </w:tcBorders>
            <w:vAlign w:val="center"/>
          </w:tcPr>
          <w:p>
            <w:pPr>
              <w:jc w:val="center"/>
              <w:rPr>
                <w:rFonts w:ascii="宋体" w:hAnsi="宋体" w:cs="宋体"/>
                <w:b/>
                <w:bCs/>
                <w:color w:val="auto"/>
                <w:sz w:val="18"/>
                <w:szCs w:val="18"/>
              </w:rPr>
            </w:pPr>
            <w:r>
              <w:rPr>
                <w:rFonts w:hint="eastAsia" w:ascii="宋体" w:hAnsi="宋体"/>
                <w:b/>
                <w:bCs/>
                <w:color w:val="auto"/>
                <w:sz w:val="18"/>
                <w:szCs w:val="18"/>
              </w:rPr>
              <w:t>期末余额</w:t>
            </w:r>
          </w:p>
        </w:tc>
        <w:tc>
          <w:tcPr>
            <w:tcW w:w="3113" w:type="dxa"/>
            <w:gridSpan w:val="2"/>
            <w:tcBorders>
              <w:top w:val="single" w:color="000000" w:sz="12" w:space="0"/>
              <w:left w:val="single" w:color="auto" w:sz="4" w:space="0"/>
              <w:bottom w:val="single" w:color="auto" w:sz="4" w:space="0"/>
              <w:right w:val="nil"/>
            </w:tcBorders>
            <w:vAlign w:val="center"/>
          </w:tcPr>
          <w:p>
            <w:pPr>
              <w:jc w:val="center"/>
              <w:rPr>
                <w:rFonts w:ascii="宋体" w:hAnsi="宋体" w:cs="宋体"/>
                <w:b/>
                <w:bCs/>
                <w:color w:val="auto"/>
                <w:sz w:val="18"/>
                <w:szCs w:val="18"/>
              </w:rPr>
            </w:pPr>
            <w:r>
              <w:rPr>
                <w:rFonts w:hint="eastAsia" w:ascii="宋体" w:hAnsi="宋体"/>
                <w:b/>
                <w:bCs/>
                <w:color w:val="auto"/>
                <w:sz w:val="18"/>
                <w:szCs w:val="18"/>
              </w:rPr>
              <w:t>期初余额</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exact"/>
        </w:trPr>
        <w:tc>
          <w:tcPr>
            <w:tcW w:w="2410" w:type="dxa"/>
            <w:vMerge w:val="continue"/>
            <w:tcBorders>
              <w:top w:val="single" w:color="000000" w:sz="12" w:space="0"/>
              <w:left w:val="nil"/>
              <w:bottom w:val="single" w:color="auto" w:sz="4" w:space="0"/>
              <w:right w:val="single" w:color="auto" w:sz="4" w:space="0"/>
            </w:tcBorders>
            <w:vAlign w:val="center"/>
          </w:tcPr>
          <w:p>
            <w:pPr>
              <w:widowControl/>
              <w:jc w:val="left"/>
              <w:rPr>
                <w:rFonts w:ascii="宋体" w:hAnsi="宋体"/>
                <w:b/>
                <w:color w:val="auto"/>
                <w:sz w:val="18"/>
                <w:szCs w:val="18"/>
              </w:rPr>
            </w:pPr>
          </w:p>
        </w:tc>
        <w:tc>
          <w:tcPr>
            <w:tcW w:w="1843"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cs="宋体"/>
                <w:b/>
                <w:bCs/>
                <w:color w:val="auto"/>
                <w:sz w:val="18"/>
                <w:szCs w:val="18"/>
              </w:rPr>
            </w:pPr>
            <w:r>
              <w:rPr>
                <w:rFonts w:hint="eastAsia" w:ascii="宋体" w:hAnsi="宋体"/>
                <w:b/>
                <w:bCs/>
                <w:color w:val="auto"/>
                <w:sz w:val="18"/>
                <w:szCs w:val="18"/>
              </w:rPr>
              <w:t>金额</w:t>
            </w:r>
          </w:p>
        </w:tc>
        <w:tc>
          <w:tcPr>
            <w:tcW w:w="1559"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cs="宋体"/>
                <w:b/>
                <w:bCs/>
                <w:color w:val="auto"/>
                <w:sz w:val="18"/>
                <w:szCs w:val="18"/>
              </w:rPr>
            </w:pPr>
            <w:r>
              <w:rPr>
                <w:rFonts w:hint="eastAsia" w:ascii="宋体" w:hAnsi="宋体"/>
                <w:b/>
                <w:bCs/>
                <w:color w:val="auto"/>
                <w:sz w:val="18"/>
                <w:szCs w:val="18"/>
              </w:rPr>
              <w:t>比例（</w:t>
            </w:r>
            <w:r>
              <w:rPr>
                <w:rFonts w:ascii="宋体" w:hAnsi="宋体"/>
                <w:b/>
                <w:bCs/>
                <w:color w:val="auto"/>
                <w:sz w:val="18"/>
                <w:szCs w:val="18"/>
              </w:rPr>
              <w:t>%）</w:t>
            </w:r>
          </w:p>
        </w:tc>
        <w:tc>
          <w:tcPr>
            <w:tcW w:w="1701"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cs="宋体"/>
                <w:b/>
                <w:bCs/>
                <w:color w:val="auto"/>
                <w:sz w:val="18"/>
                <w:szCs w:val="18"/>
              </w:rPr>
            </w:pPr>
            <w:r>
              <w:rPr>
                <w:rFonts w:hint="eastAsia" w:ascii="宋体" w:hAnsi="宋体"/>
                <w:b/>
                <w:bCs/>
                <w:color w:val="auto"/>
                <w:sz w:val="18"/>
                <w:szCs w:val="18"/>
              </w:rPr>
              <w:t>金额</w:t>
            </w:r>
          </w:p>
        </w:tc>
        <w:tc>
          <w:tcPr>
            <w:tcW w:w="1412" w:type="dxa"/>
            <w:tcBorders>
              <w:top w:val="single" w:color="auto" w:sz="4" w:space="0"/>
              <w:left w:val="single" w:color="auto" w:sz="4" w:space="0"/>
              <w:bottom w:val="single" w:color="auto" w:sz="12" w:space="0"/>
              <w:right w:val="nil"/>
            </w:tcBorders>
            <w:vAlign w:val="center"/>
          </w:tcPr>
          <w:p>
            <w:pPr>
              <w:jc w:val="center"/>
              <w:rPr>
                <w:rFonts w:ascii="宋体" w:hAnsi="宋体" w:cs="宋体"/>
                <w:b/>
                <w:bCs/>
                <w:color w:val="auto"/>
                <w:sz w:val="18"/>
                <w:szCs w:val="18"/>
              </w:rPr>
            </w:pPr>
            <w:r>
              <w:rPr>
                <w:rFonts w:hint="eastAsia" w:ascii="宋体" w:hAnsi="宋体"/>
                <w:b/>
                <w:bCs/>
                <w:color w:val="auto"/>
                <w:sz w:val="18"/>
                <w:szCs w:val="18"/>
              </w:rPr>
              <w:t>比例（</w:t>
            </w:r>
            <w:r>
              <w:rPr>
                <w:rFonts w:ascii="宋体" w:hAnsi="宋体"/>
                <w:b/>
                <w:bCs/>
                <w:color w:val="auto"/>
                <w:sz w:val="18"/>
                <w:szCs w:val="18"/>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PrEx>
        <w:trPr>
          <w:trHeight w:val="454" w:hRule="exact"/>
        </w:trPr>
        <w:tc>
          <w:tcPr>
            <w:tcW w:w="2410" w:type="dxa"/>
            <w:tcBorders>
              <w:top w:val="single" w:color="auto" w:sz="12" w:space="0"/>
              <w:left w:val="nil"/>
              <w:bottom w:val="single" w:color="auto" w:sz="4" w:space="0"/>
              <w:right w:val="single" w:color="auto" w:sz="4" w:space="0"/>
            </w:tcBorders>
            <w:vAlign w:val="bottom"/>
          </w:tcPr>
          <w:p>
            <w:pPr>
              <w:rPr>
                <w:rFonts w:ascii="宋体"/>
                <w:color w:val="auto"/>
                <w:sz w:val="18"/>
                <w:szCs w:val="18"/>
              </w:rPr>
            </w:pPr>
            <w:r>
              <w:rPr>
                <w:rFonts w:ascii="宋体" w:hAnsi="宋体"/>
                <w:color w:val="auto"/>
                <w:sz w:val="18"/>
                <w:szCs w:val="18"/>
              </w:rPr>
              <w:t>1年以内（含1年）</w:t>
            </w:r>
          </w:p>
        </w:tc>
        <w:tc>
          <w:tcPr>
            <w:tcW w:w="1843" w:type="dxa"/>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3,889,390.57</w:t>
            </w:r>
          </w:p>
        </w:tc>
        <w:tc>
          <w:tcPr>
            <w:tcW w:w="1559" w:type="dxa"/>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99.83</w:t>
            </w:r>
          </w:p>
        </w:tc>
        <w:tc>
          <w:tcPr>
            <w:tcW w:w="1701" w:type="dxa"/>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宋体" w:hAnsi="宋体"/>
                <w:color w:val="auto"/>
                <w:sz w:val="18"/>
                <w:szCs w:val="18"/>
              </w:rPr>
              <w:t xml:space="preserve">3,528,029.53 </w:t>
            </w:r>
          </w:p>
        </w:tc>
        <w:tc>
          <w:tcPr>
            <w:tcW w:w="1412" w:type="dxa"/>
            <w:tcBorders>
              <w:top w:val="single" w:color="auto" w:sz="12"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宋体" w:hAnsi="宋体"/>
                <w:color w:val="auto"/>
                <w:sz w:val="18"/>
                <w:szCs w:val="18"/>
              </w:rPr>
              <w:t xml:space="preserve">97.57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PrEx>
        <w:trPr>
          <w:trHeight w:val="454" w:hRule="exact"/>
        </w:trPr>
        <w:tc>
          <w:tcPr>
            <w:tcW w:w="2410" w:type="dxa"/>
            <w:tcBorders>
              <w:top w:val="single" w:color="auto" w:sz="4" w:space="0"/>
              <w:left w:val="nil"/>
              <w:bottom w:val="single" w:color="auto" w:sz="4" w:space="0"/>
              <w:right w:val="single" w:color="auto" w:sz="4" w:space="0"/>
            </w:tcBorders>
            <w:vAlign w:val="bottom"/>
          </w:tcPr>
          <w:p>
            <w:pPr>
              <w:rPr>
                <w:rFonts w:ascii="宋体"/>
                <w:color w:val="auto"/>
                <w:sz w:val="18"/>
                <w:szCs w:val="18"/>
              </w:rPr>
            </w:pPr>
            <w:r>
              <w:rPr>
                <w:rFonts w:ascii="宋体" w:hAnsi="宋体"/>
                <w:color w:val="auto"/>
                <w:sz w:val="18"/>
                <w:szCs w:val="18"/>
              </w:rPr>
              <w:t>1至2年（含2年）</w:t>
            </w:r>
          </w:p>
        </w:tc>
        <w:tc>
          <w:tcPr>
            <w:tcW w:w="1843"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6,600.00</w:t>
            </w:r>
          </w:p>
        </w:tc>
        <w:tc>
          <w:tcPr>
            <w:tcW w:w="1559"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0.17</w:t>
            </w:r>
          </w:p>
        </w:tc>
        <w:tc>
          <w:tcPr>
            <w:tcW w:w="1701"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1412" w:type="dxa"/>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exact"/>
        </w:trPr>
        <w:tc>
          <w:tcPr>
            <w:tcW w:w="2410" w:type="dxa"/>
            <w:tcBorders>
              <w:top w:val="single" w:color="auto" w:sz="4" w:space="0"/>
              <w:left w:val="nil"/>
              <w:bottom w:val="single" w:color="auto" w:sz="4" w:space="0"/>
              <w:right w:val="single" w:color="auto" w:sz="4" w:space="0"/>
            </w:tcBorders>
            <w:vAlign w:val="bottom"/>
          </w:tcPr>
          <w:p>
            <w:pPr>
              <w:rPr>
                <w:rFonts w:ascii="宋体"/>
                <w:color w:val="auto"/>
                <w:sz w:val="18"/>
                <w:szCs w:val="18"/>
              </w:rPr>
            </w:pPr>
            <w:r>
              <w:rPr>
                <w:rFonts w:ascii="宋体" w:hAnsi="宋体"/>
                <w:color w:val="auto"/>
                <w:sz w:val="18"/>
                <w:szCs w:val="18"/>
              </w:rPr>
              <w:t>2至3年（含3年）</w:t>
            </w:r>
          </w:p>
        </w:tc>
        <w:tc>
          <w:tcPr>
            <w:tcW w:w="1843"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559"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701"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宋体" w:hAnsi="宋体"/>
                <w:color w:val="auto"/>
                <w:sz w:val="18"/>
                <w:szCs w:val="18"/>
              </w:rPr>
              <w:t xml:space="preserve">47,760.00 </w:t>
            </w:r>
          </w:p>
        </w:tc>
        <w:tc>
          <w:tcPr>
            <w:tcW w:w="1412" w:type="dxa"/>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宋体" w:hAnsi="宋体"/>
                <w:color w:val="auto"/>
                <w:sz w:val="18"/>
                <w:szCs w:val="18"/>
              </w:rPr>
              <w:t xml:space="preserve">1.32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PrEx>
        <w:trPr>
          <w:trHeight w:val="454" w:hRule="exact"/>
        </w:trPr>
        <w:tc>
          <w:tcPr>
            <w:tcW w:w="2410" w:type="dxa"/>
            <w:tcBorders>
              <w:top w:val="single" w:color="auto" w:sz="4" w:space="0"/>
              <w:left w:val="nil"/>
              <w:bottom w:val="single" w:color="auto" w:sz="6" w:space="0"/>
              <w:right w:val="single" w:color="auto" w:sz="4" w:space="0"/>
            </w:tcBorders>
            <w:vAlign w:val="bottom"/>
          </w:tcPr>
          <w:p>
            <w:pPr>
              <w:rPr>
                <w:rFonts w:ascii="宋体"/>
                <w:color w:val="auto"/>
                <w:sz w:val="18"/>
                <w:szCs w:val="18"/>
              </w:rPr>
            </w:pPr>
            <w:r>
              <w:rPr>
                <w:rFonts w:ascii="宋体" w:hAnsi="宋体"/>
                <w:color w:val="auto"/>
                <w:sz w:val="18"/>
                <w:szCs w:val="18"/>
              </w:rPr>
              <w:t>3至5年（含5年）</w:t>
            </w:r>
          </w:p>
        </w:tc>
        <w:tc>
          <w:tcPr>
            <w:tcW w:w="1843" w:type="dxa"/>
            <w:tcBorders>
              <w:top w:val="single" w:color="auto" w:sz="4" w:space="0"/>
              <w:left w:val="single" w:color="auto" w:sz="4" w:space="0"/>
              <w:bottom w:val="single" w:color="auto" w:sz="6" w:space="0"/>
              <w:right w:val="single" w:color="auto" w:sz="4" w:space="0"/>
            </w:tcBorders>
            <w:vAlign w:val="bottom"/>
          </w:tcPr>
          <w:p>
            <w:pPr>
              <w:jc w:val="right"/>
              <w:rPr>
                <w:rFonts w:ascii="宋体" w:hAnsi="宋体" w:cs="宋体"/>
                <w:color w:val="auto"/>
                <w:sz w:val="18"/>
                <w:szCs w:val="18"/>
              </w:rPr>
            </w:pPr>
          </w:p>
        </w:tc>
        <w:tc>
          <w:tcPr>
            <w:tcW w:w="1559" w:type="dxa"/>
            <w:tcBorders>
              <w:top w:val="single" w:color="auto" w:sz="4" w:space="0"/>
              <w:left w:val="single" w:color="auto" w:sz="4" w:space="0"/>
              <w:bottom w:val="single" w:color="auto" w:sz="6" w:space="0"/>
              <w:right w:val="single" w:color="auto" w:sz="4" w:space="0"/>
            </w:tcBorders>
            <w:vAlign w:val="bottom"/>
          </w:tcPr>
          <w:p>
            <w:pPr>
              <w:jc w:val="right"/>
              <w:rPr>
                <w:rFonts w:ascii="宋体" w:hAnsi="宋体" w:cs="宋体"/>
                <w:color w:val="auto"/>
                <w:sz w:val="18"/>
                <w:szCs w:val="18"/>
              </w:rPr>
            </w:pPr>
          </w:p>
        </w:tc>
        <w:tc>
          <w:tcPr>
            <w:tcW w:w="1701" w:type="dxa"/>
            <w:tcBorders>
              <w:top w:val="single" w:color="auto" w:sz="4" w:space="0"/>
              <w:left w:val="single" w:color="auto" w:sz="4" w:space="0"/>
              <w:bottom w:val="single" w:color="auto" w:sz="6"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宋体" w:hAnsi="宋体"/>
                <w:color w:val="auto"/>
                <w:sz w:val="18"/>
                <w:szCs w:val="18"/>
              </w:rPr>
              <w:t xml:space="preserve">40,000.00 </w:t>
            </w:r>
          </w:p>
        </w:tc>
        <w:tc>
          <w:tcPr>
            <w:tcW w:w="1412" w:type="dxa"/>
            <w:tcBorders>
              <w:top w:val="single" w:color="auto" w:sz="4" w:space="0"/>
              <w:left w:val="single" w:color="auto" w:sz="4" w:space="0"/>
              <w:bottom w:val="single" w:color="auto" w:sz="6" w:space="0"/>
              <w:right w:val="nil"/>
            </w:tcBorders>
            <w:vAlign w:val="bottom"/>
          </w:tcPr>
          <w:p>
            <w:pPr>
              <w:jc w:val="right"/>
              <w:rPr>
                <w:rFonts w:cs="宋体" w:asciiTheme="minorEastAsia" w:hAnsiTheme="minorEastAsia" w:eastAsiaTheme="minorEastAsia"/>
                <w:color w:val="auto"/>
                <w:sz w:val="18"/>
                <w:szCs w:val="18"/>
              </w:rPr>
            </w:pPr>
            <w:r>
              <w:rPr>
                <w:rFonts w:hint="eastAsia" w:ascii="宋体" w:hAnsi="宋体"/>
                <w:color w:val="auto"/>
                <w:sz w:val="18"/>
                <w:szCs w:val="18"/>
              </w:rPr>
              <w:t xml:space="preserve">1.11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exact"/>
        </w:trPr>
        <w:tc>
          <w:tcPr>
            <w:tcW w:w="2410" w:type="dxa"/>
            <w:tcBorders>
              <w:top w:val="single" w:color="auto" w:sz="6" w:space="0"/>
              <w:left w:val="nil"/>
              <w:bottom w:val="single" w:color="000000" w:sz="12" w:space="0"/>
              <w:right w:val="single" w:color="auto" w:sz="4" w:space="0"/>
            </w:tcBorders>
            <w:vAlign w:val="bottom"/>
          </w:tcPr>
          <w:p>
            <w:pPr>
              <w:rPr>
                <w:rFonts w:ascii="宋体"/>
                <w:color w:val="auto"/>
                <w:sz w:val="18"/>
                <w:szCs w:val="18"/>
              </w:rPr>
            </w:pPr>
            <w:r>
              <w:rPr>
                <w:rFonts w:ascii="宋体" w:hAnsi="宋体"/>
                <w:color w:val="auto"/>
                <w:sz w:val="18"/>
                <w:szCs w:val="18"/>
              </w:rPr>
              <w:t>5年以上</w:t>
            </w:r>
          </w:p>
        </w:tc>
        <w:tc>
          <w:tcPr>
            <w:tcW w:w="1843" w:type="dxa"/>
            <w:tcBorders>
              <w:top w:val="single" w:color="auto" w:sz="6" w:space="0"/>
              <w:left w:val="single" w:color="auto" w:sz="4" w:space="0"/>
              <w:bottom w:val="single" w:color="000000" w:sz="12" w:space="0"/>
              <w:right w:val="single" w:color="auto" w:sz="4" w:space="0"/>
            </w:tcBorders>
            <w:vAlign w:val="bottom"/>
          </w:tcPr>
          <w:p>
            <w:pPr>
              <w:jc w:val="right"/>
              <w:rPr>
                <w:rFonts w:ascii="宋体" w:hAnsi="宋体" w:cs="宋体"/>
                <w:color w:val="auto"/>
                <w:sz w:val="18"/>
                <w:szCs w:val="18"/>
              </w:rPr>
            </w:pPr>
          </w:p>
        </w:tc>
        <w:tc>
          <w:tcPr>
            <w:tcW w:w="1559" w:type="dxa"/>
            <w:tcBorders>
              <w:top w:val="single" w:color="auto" w:sz="6" w:space="0"/>
              <w:left w:val="single" w:color="auto" w:sz="4" w:space="0"/>
              <w:bottom w:val="single" w:color="000000" w:sz="12" w:space="0"/>
              <w:right w:val="single" w:color="auto" w:sz="4" w:space="0"/>
            </w:tcBorders>
            <w:vAlign w:val="bottom"/>
          </w:tcPr>
          <w:p>
            <w:pPr>
              <w:jc w:val="right"/>
              <w:rPr>
                <w:rFonts w:ascii="宋体" w:hAnsi="宋体" w:cs="宋体"/>
                <w:color w:val="auto"/>
                <w:sz w:val="18"/>
                <w:szCs w:val="18"/>
              </w:rPr>
            </w:pPr>
          </w:p>
        </w:tc>
        <w:tc>
          <w:tcPr>
            <w:tcW w:w="1701" w:type="dxa"/>
            <w:tcBorders>
              <w:top w:val="single" w:color="auto" w:sz="6" w:space="0"/>
              <w:left w:val="single" w:color="auto" w:sz="4" w:space="0"/>
              <w:bottom w:val="single" w:color="000000" w:sz="12"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1412" w:type="dxa"/>
            <w:tcBorders>
              <w:top w:val="single" w:color="auto" w:sz="6" w:space="0"/>
              <w:left w:val="single" w:color="auto" w:sz="4" w:space="0"/>
              <w:bottom w:val="single" w:color="000000" w:sz="12" w:space="0"/>
              <w:right w:val="nil"/>
            </w:tcBorders>
            <w:vAlign w:val="bottom"/>
          </w:tcPr>
          <w:p>
            <w:pPr>
              <w:jc w:val="right"/>
              <w:rPr>
                <w:rFonts w:cs="宋体" w:asciiTheme="minorEastAsia" w:hAnsiTheme="minorEastAsia" w:eastAsiaTheme="minorEastAsia"/>
                <w:color w:val="auto"/>
                <w:sz w:val="18"/>
                <w:szCs w:val="18"/>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exact"/>
        </w:trPr>
        <w:tc>
          <w:tcPr>
            <w:tcW w:w="2410" w:type="dxa"/>
            <w:tcBorders>
              <w:top w:val="single" w:color="auto" w:sz="12" w:space="0"/>
              <w:left w:val="nil"/>
              <w:bottom w:val="single" w:color="000000" w:sz="12" w:space="0"/>
              <w:right w:val="single" w:color="auto" w:sz="4" w:space="0"/>
            </w:tcBorders>
            <w:vAlign w:val="bottom"/>
          </w:tcPr>
          <w:p>
            <w:pPr>
              <w:jc w:val="center"/>
              <w:rPr>
                <w:rFonts w:ascii="宋体"/>
                <w:b/>
                <w:bCs/>
                <w:color w:val="auto"/>
                <w:sz w:val="18"/>
                <w:szCs w:val="18"/>
              </w:rPr>
            </w:pPr>
            <w:r>
              <w:rPr>
                <w:rFonts w:hint="eastAsia" w:ascii="宋体" w:hAnsi="宋体"/>
                <w:b/>
                <w:bCs/>
                <w:color w:val="auto"/>
                <w:sz w:val="18"/>
                <w:szCs w:val="18"/>
              </w:rPr>
              <w:t>合计</w:t>
            </w:r>
          </w:p>
        </w:tc>
        <w:tc>
          <w:tcPr>
            <w:tcW w:w="1843" w:type="dxa"/>
            <w:tcBorders>
              <w:top w:val="single" w:color="auto" w:sz="12" w:space="0"/>
              <w:left w:val="single" w:color="auto" w:sz="4" w:space="0"/>
              <w:bottom w:val="single" w:color="000000" w:sz="12" w:space="0"/>
              <w:right w:val="single" w:color="auto" w:sz="4" w:space="0"/>
            </w:tcBorders>
            <w:vAlign w:val="bottom"/>
          </w:tcPr>
          <w:p>
            <w:pPr>
              <w:jc w:val="right"/>
              <w:rPr>
                <w:rFonts w:ascii="宋体" w:hAnsi="宋体" w:cs="宋体"/>
                <w:b/>
                <w:bCs/>
                <w:color w:val="auto"/>
                <w:sz w:val="18"/>
                <w:szCs w:val="18"/>
              </w:rPr>
            </w:pPr>
            <w:r>
              <w:rPr>
                <w:rFonts w:ascii="宋体" w:hAnsi="宋体"/>
                <w:b/>
                <w:bCs/>
                <w:color w:val="auto"/>
                <w:sz w:val="18"/>
                <w:szCs w:val="18"/>
              </w:rPr>
              <w:t>3,895,990.57</w:t>
            </w:r>
          </w:p>
        </w:tc>
        <w:tc>
          <w:tcPr>
            <w:tcW w:w="1559" w:type="dxa"/>
            <w:tcBorders>
              <w:top w:val="single" w:color="auto" w:sz="12" w:space="0"/>
              <w:left w:val="single" w:color="auto" w:sz="4" w:space="0"/>
              <w:bottom w:val="single" w:color="000000" w:sz="12" w:space="0"/>
              <w:right w:val="single" w:color="auto" w:sz="4" w:space="0"/>
            </w:tcBorders>
            <w:vAlign w:val="bottom"/>
          </w:tcPr>
          <w:p>
            <w:pPr>
              <w:jc w:val="right"/>
              <w:rPr>
                <w:rFonts w:ascii="宋体" w:hAnsi="宋体" w:cs="宋体"/>
                <w:b/>
                <w:bCs/>
                <w:color w:val="auto"/>
                <w:sz w:val="18"/>
                <w:szCs w:val="18"/>
              </w:rPr>
            </w:pPr>
            <w:r>
              <w:rPr>
                <w:rFonts w:ascii="宋体" w:hAnsi="宋体"/>
                <w:b/>
                <w:bCs/>
                <w:color w:val="auto"/>
                <w:sz w:val="18"/>
                <w:szCs w:val="18"/>
              </w:rPr>
              <w:t>100.00</w:t>
            </w:r>
          </w:p>
        </w:tc>
        <w:tc>
          <w:tcPr>
            <w:tcW w:w="1701" w:type="dxa"/>
            <w:tcBorders>
              <w:top w:val="single" w:color="auto" w:sz="12" w:space="0"/>
              <w:left w:val="single" w:color="auto" w:sz="4" w:space="0"/>
              <w:bottom w:val="single" w:color="000000"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宋体" w:hAnsi="宋体"/>
                <w:b/>
                <w:bCs/>
                <w:color w:val="auto"/>
                <w:sz w:val="18"/>
                <w:szCs w:val="18"/>
              </w:rPr>
              <w:t xml:space="preserve">3,615,789.53 </w:t>
            </w:r>
          </w:p>
        </w:tc>
        <w:tc>
          <w:tcPr>
            <w:tcW w:w="1412" w:type="dxa"/>
            <w:tcBorders>
              <w:top w:val="single" w:color="auto" w:sz="12" w:space="0"/>
              <w:left w:val="single" w:color="auto" w:sz="4" w:space="0"/>
              <w:bottom w:val="single" w:color="000000" w:sz="12" w:space="0"/>
              <w:right w:val="nil"/>
            </w:tcBorders>
            <w:vAlign w:val="bottom"/>
          </w:tcPr>
          <w:p>
            <w:pPr>
              <w:jc w:val="right"/>
              <w:rPr>
                <w:rFonts w:cs="宋体" w:asciiTheme="minorEastAsia" w:hAnsiTheme="minorEastAsia" w:eastAsiaTheme="minorEastAsia"/>
                <w:b/>
                <w:color w:val="auto"/>
                <w:sz w:val="18"/>
                <w:szCs w:val="18"/>
              </w:rPr>
            </w:pPr>
            <w:r>
              <w:rPr>
                <w:rFonts w:hint="eastAsia" w:ascii="宋体" w:hAnsi="宋体"/>
                <w:b/>
                <w:bCs/>
                <w:color w:val="auto"/>
                <w:sz w:val="18"/>
                <w:szCs w:val="18"/>
              </w:rPr>
              <w:t xml:space="preserve">100.00 </w:t>
            </w:r>
          </w:p>
        </w:tc>
      </w:tr>
    </w:tbl>
    <w:p>
      <w:pPr>
        <w:spacing w:before="150" w:beforeLines="50" w:after="150" w:afterLines="50" w:line="360" w:lineRule="auto"/>
        <w:ind w:firstLine="425"/>
        <w:rPr>
          <w:rFonts w:ascii="宋体"/>
          <w:color w:val="auto"/>
          <w:szCs w:val="21"/>
        </w:rPr>
      </w:pPr>
      <w:r>
        <w:rPr>
          <w:rFonts w:hint="eastAsia" w:ascii="宋体" w:hAnsi="宋体"/>
          <w:bCs/>
          <w:color w:val="auto"/>
          <w:szCs w:val="21"/>
        </w:rPr>
        <w:t>（2）</w:t>
      </w:r>
      <w:r>
        <w:rPr>
          <w:rFonts w:hint="eastAsia" w:ascii="宋体" w:hAnsi="宋体"/>
          <w:color w:val="auto"/>
          <w:szCs w:val="21"/>
        </w:rPr>
        <w:t>期末预付款项中金额前五名的单位明细情况如下：</w:t>
      </w:r>
    </w:p>
    <w:tbl>
      <w:tblPr>
        <w:tblStyle w:val="9"/>
        <w:tblW w:w="8931" w:type="dxa"/>
        <w:tblCaption w:val="&quot;\\lisheng\共享\1、伟隆2022年度审计\1、2022年度审计\1、附注及报告\2022年\附注计算-伟隆 - 2022.xlsx&quot; &quot;2022附注格式!_ReportTable_0024&quot;"/>
        <w:tblDescription w:val="A117:E123"/>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1559"/>
        <w:gridCol w:w="1134"/>
        <w:gridCol w:w="141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977" w:type="dxa"/>
            <w:tcBorders>
              <w:top w:val="single" w:color="auto" w:sz="12" w:space="0"/>
              <w:left w:val="nil"/>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单位名称</w:t>
            </w:r>
          </w:p>
        </w:tc>
        <w:tc>
          <w:tcPr>
            <w:tcW w:w="1559"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金额</w:t>
            </w:r>
          </w:p>
        </w:tc>
        <w:tc>
          <w:tcPr>
            <w:tcW w:w="1134"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年限</w:t>
            </w:r>
          </w:p>
        </w:tc>
        <w:tc>
          <w:tcPr>
            <w:tcW w:w="1418"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占预付款项总</w:t>
            </w:r>
            <w:r>
              <w:rPr>
                <w:rFonts w:ascii="宋体" w:hAnsi="宋体"/>
                <w:b/>
                <w:color w:val="auto"/>
                <w:sz w:val="18"/>
                <w:szCs w:val="18"/>
              </w:rPr>
              <w:t xml:space="preserve"> 额的比例（%）</w:t>
            </w:r>
          </w:p>
        </w:tc>
        <w:tc>
          <w:tcPr>
            <w:tcW w:w="1843" w:type="dxa"/>
            <w:tcBorders>
              <w:top w:val="single" w:color="auto" w:sz="12" w:space="0"/>
              <w:left w:val="single" w:color="auto" w:sz="4" w:space="0"/>
              <w:bottom w:val="single" w:color="auto" w:sz="12" w:space="0"/>
              <w:right w:val="nil"/>
            </w:tcBorders>
            <w:vAlign w:val="center"/>
          </w:tcPr>
          <w:p>
            <w:pPr>
              <w:jc w:val="center"/>
              <w:rPr>
                <w:rFonts w:ascii="宋体" w:hAnsi="宋体"/>
                <w:b/>
                <w:color w:val="auto"/>
                <w:sz w:val="18"/>
                <w:szCs w:val="18"/>
              </w:rPr>
            </w:pPr>
            <w:r>
              <w:rPr>
                <w:rFonts w:hint="eastAsia" w:ascii="宋体" w:hAnsi="宋体"/>
                <w:b/>
                <w:color w:val="auto"/>
                <w:sz w:val="18"/>
                <w:szCs w:val="18"/>
              </w:rPr>
              <w:t>未结算原因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977" w:type="dxa"/>
            <w:tcBorders>
              <w:top w:val="single" w:color="auto" w:sz="12" w:space="0"/>
              <w:left w:val="nil"/>
              <w:bottom w:val="single" w:color="auto" w:sz="4" w:space="0"/>
              <w:right w:val="single" w:color="auto" w:sz="4" w:space="0"/>
            </w:tcBorders>
            <w:vAlign w:val="bottom"/>
          </w:tcPr>
          <w:p>
            <w:pPr>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供应商一</w:t>
            </w:r>
          </w:p>
        </w:tc>
        <w:tc>
          <w:tcPr>
            <w:tcW w:w="1559" w:type="dxa"/>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1,540,774.10</w:t>
            </w:r>
          </w:p>
        </w:tc>
        <w:tc>
          <w:tcPr>
            <w:tcW w:w="1134" w:type="dxa"/>
            <w:tcBorders>
              <w:top w:val="single" w:color="auto" w:sz="12" w:space="0"/>
              <w:left w:val="single" w:color="auto" w:sz="4" w:space="0"/>
              <w:bottom w:val="single" w:color="auto" w:sz="4" w:space="0"/>
              <w:right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1年以内</w:t>
            </w:r>
          </w:p>
        </w:tc>
        <w:tc>
          <w:tcPr>
            <w:tcW w:w="1418" w:type="dxa"/>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39.55</w:t>
            </w:r>
          </w:p>
        </w:tc>
        <w:tc>
          <w:tcPr>
            <w:tcW w:w="1843" w:type="dxa"/>
            <w:tcBorders>
              <w:top w:val="single" w:color="auto" w:sz="12" w:space="0"/>
              <w:left w:val="single" w:color="auto" w:sz="4" w:space="0"/>
              <w:bottom w:val="single" w:color="auto" w:sz="4" w:space="0"/>
              <w:right w:val="nil"/>
            </w:tcBorders>
            <w:vAlign w:val="bottom"/>
          </w:tcPr>
          <w:p>
            <w:pPr>
              <w:jc w:val="cente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未到结算期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977" w:type="dxa"/>
            <w:tcBorders>
              <w:top w:val="single" w:color="auto" w:sz="4" w:space="0"/>
              <w:left w:val="nil"/>
              <w:bottom w:val="single" w:color="auto" w:sz="4" w:space="0"/>
              <w:right w:val="single" w:color="auto" w:sz="4" w:space="0"/>
            </w:tcBorders>
            <w:vAlign w:val="bottom"/>
          </w:tcPr>
          <w:p>
            <w:pPr>
              <w:rPr>
                <w:color w:val="auto"/>
              </w:rPr>
            </w:pPr>
            <w:r>
              <w:rPr>
                <w:rFonts w:cs="宋体" w:asciiTheme="majorEastAsia" w:hAnsiTheme="majorEastAsia" w:eastAsiaTheme="majorEastAsia"/>
                <w:color w:val="auto"/>
                <w:sz w:val="18"/>
                <w:szCs w:val="18"/>
              </w:rPr>
              <w:t>供应商二</w:t>
            </w:r>
          </w:p>
        </w:tc>
        <w:tc>
          <w:tcPr>
            <w:tcW w:w="1559"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826,997.97</w:t>
            </w:r>
          </w:p>
        </w:tc>
        <w:tc>
          <w:tcPr>
            <w:tcW w:w="1134" w:type="dxa"/>
            <w:tcBorders>
              <w:top w:val="single" w:color="auto" w:sz="4" w:space="0"/>
              <w:left w:val="single" w:color="auto" w:sz="4" w:space="0"/>
              <w:bottom w:val="single" w:color="auto" w:sz="4" w:space="0"/>
              <w:right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1年以内</w:t>
            </w:r>
          </w:p>
        </w:tc>
        <w:tc>
          <w:tcPr>
            <w:tcW w:w="1418"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21.23</w:t>
            </w:r>
          </w:p>
        </w:tc>
        <w:tc>
          <w:tcPr>
            <w:tcW w:w="1843" w:type="dxa"/>
            <w:tcBorders>
              <w:top w:val="single" w:color="auto" w:sz="4" w:space="0"/>
              <w:left w:val="single" w:color="auto" w:sz="4" w:space="0"/>
              <w:bottom w:val="single" w:color="auto" w:sz="4" w:space="0"/>
              <w:right w:val="nil"/>
            </w:tcBorders>
            <w:vAlign w:val="bottom"/>
          </w:tcPr>
          <w:p>
            <w:pPr>
              <w:jc w:val="cente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未到结算期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977" w:type="dxa"/>
            <w:tcBorders>
              <w:top w:val="single" w:color="auto" w:sz="4" w:space="0"/>
              <w:left w:val="nil"/>
              <w:bottom w:val="single" w:color="auto" w:sz="4" w:space="0"/>
              <w:right w:val="single" w:color="auto" w:sz="4" w:space="0"/>
            </w:tcBorders>
            <w:vAlign w:val="bottom"/>
          </w:tcPr>
          <w:p>
            <w:pPr>
              <w:rPr>
                <w:color w:val="auto"/>
              </w:rPr>
            </w:pPr>
            <w:r>
              <w:rPr>
                <w:rFonts w:cs="宋体" w:asciiTheme="majorEastAsia" w:hAnsiTheme="majorEastAsia" w:eastAsiaTheme="majorEastAsia"/>
                <w:color w:val="auto"/>
                <w:sz w:val="18"/>
                <w:szCs w:val="18"/>
              </w:rPr>
              <w:t>供应商三</w:t>
            </w:r>
          </w:p>
        </w:tc>
        <w:tc>
          <w:tcPr>
            <w:tcW w:w="1559"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697,712.90</w:t>
            </w:r>
          </w:p>
        </w:tc>
        <w:tc>
          <w:tcPr>
            <w:tcW w:w="1134" w:type="dxa"/>
            <w:tcBorders>
              <w:top w:val="single" w:color="auto" w:sz="4" w:space="0"/>
              <w:left w:val="single" w:color="auto" w:sz="4" w:space="0"/>
              <w:bottom w:val="single" w:color="auto" w:sz="4" w:space="0"/>
              <w:right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1年以内</w:t>
            </w:r>
          </w:p>
        </w:tc>
        <w:tc>
          <w:tcPr>
            <w:tcW w:w="1418"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17.91</w:t>
            </w:r>
          </w:p>
        </w:tc>
        <w:tc>
          <w:tcPr>
            <w:tcW w:w="1843" w:type="dxa"/>
            <w:tcBorders>
              <w:top w:val="single" w:color="auto" w:sz="4" w:space="0"/>
              <w:left w:val="single" w:color="auto" w:sz="4" w:space="0"/>
              <w:bottom w:val="single" w:color="auto" w:sz="4" w:space="0"/>
              <w:right w:val="nil"/>
            </w:tcBorders>
            <w:vAlign w:val="bottom"/>
          </w:tcPr>
          <w:p>
            <w:pPr>
              <w:jc w:val="cente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未到结算期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977" w:type="dxa"/>
            <w:tcBorders>
              <w:top w:val="single" w:color="auto" w:sz="4" w:space="0"/>
              <w:left w:val="nil"/>
              <w:bottom w:val="single" w:color="auto" w:sz="4" w:space="0"/>
              <w:right w:val="single" w:color="auto" w:sz="4" w:space="0"/>
            </w:tcBorders>
            <w:vAlign w:val="bottom"/>
          </w:tcPr>
          <w:p>
            <w:pPr>
              <w:rPr>
                <w:color w:val="auto"/>
              </w:rPr>
            </w:pPr>
            <w:r>
              <w:rPr>
                <w:rFonts w:cs="宋体" w:asciiTheme="majorEastAsia" w:hAnsiTheme="majorEastAsia" w:eastAsiaTheme="majorEastAsia"/>
                <w:color w:val="auto"/>
                <w:sz w:val="18"/>
                <w:szCs w:val="18"/>
              </w:rPr>
              <w:t>供应商四</w:t>
            </w:r>
          </w:p>
        </w:tc>
        <w:tc>
          <w:tcPr>
            <w:tcW w:w="1559"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157,971.10</w:t>
            </w:r>
          </w:p>
        </w:tc>
        <w:tc>
          <w:tcPr>
            <w:tcW w:w="1134" w:type="dxa"/>
            <w:tcBorders>
              <w:top w:val="single" w:color="auto" w:sz="4" w:space="0"/>
              <w:left w:val="single" w:color="auto" w:sz="4" w:space="0"/>
              <w:bottom w:val="single" w:color="auto" w:sz="4" w:space="0"/>
              <w:right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1年以内</w:t>
            </w:r>
          </w:p>
        </w:tc>
        <w:tc>
          <w:tcPr>
            <w:tcW w:w="1418"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4.05</w:t>
            </w:r>
          </w:p>
        </w:tc>
        <w:tc>
          <w:tcPr>
            <w:tcW w:w="1843" w:type="dxa"/>
            <w:tcBorders>
              <w:top w:val="single" w:color="auto" w:sz="4" w:space="0"/>
              <w:left w:val="single" w:color="auto" w:sz="4" w:space="0"/>
              <w:bottom w:val="single" w:color="auto" w:sz="4" w:space="0"/>
              <w:right w:val="nil"/>
            </w:tcBorders>
            <w:vAlign w:val="bottom"/>
          </w:tcPr>
          <w:p>
            <w:pPr>
              <w:jc w:val="cente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未到结算期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977" w:type="dxa"/>
            <w:tcBorders>
              <w:top w:val="single" w:color="auto" w:sz="4" w:space="0"/>
              <w:left w:val="nil"/>
              <w:bottom w:val="single" w:color="auto" w:sz="12" w:space="0"/>
              <w:right w:val="single" w:color="auto" w:sz="4" w:space="0"/>
            </w:tcBorders>
            <w:vAlign w:val="bottom"/>
          </w:tcPr>
          <w:p>
            <w:pPr>
              <w:rPr>
                <w:color w:val="auto"/>
              </w:rPr>
            </w:pPr>
            <w:r>
              <w:rPr>
                <w:rFonts w:cs="宋体" w:asciiTheme="majorEastAsia" w:hAnsiTheme="majorEastAsia" w:eastAsiaTheme="majorEastAsia"/>
                <w:color w:val="auto"/>
                <w:sz w:val="18"/>
                <w:szCs w:val="18"/>
              </w:rPr>
              <w:t>供应商五</w:t>
            </w:r>
          </w:p>
        </w:tc>
        <w:tc>
          <w:tcPr>
            <w:tcW w:w="1559" w:type="dxa"/>
            <w:tcBorders>
              <w:top w:val="single" w:color="auto" w:sz="4"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60,000.00</w:t>
            </w:r>
          </w:p>
        </w:tc>
        <w:tc>
          <w:tcPr>
            <w:tcW w:w="1134" w:type="dxa"/>
            <w:tcBorders>
              <w:top w:val="single" w:color="auto" w:sz="4" w:space="0"/>
              <w:left w:val="single" w:color="auto" w:sz="4" w:space="0"/>
              <w:bottom w:val="single" w:color="auto" w:sz="12" w:space="0"/>
              <w:right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1年以内</w:t>
            </w:r>
          </w:p>
        </w:tc>
        <w:tc>
          <w:tcPr>
            <w:tcW w:w="1418" w:type="dxa"/>
            <w:tcBorders>
              <w:top w:val="single" w:color="auto" w:sz="4"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1.54</w:t>
            </w:r>
          </w:p>
        </w:tc>
        <w:tc>
          <w:tcPr>
            <w:tcW w:w="1843" w:type="dxa"/>
            <w:tcBorders>
              <w:top w:val="single" w:color="auto" w:sz="4" w:space="0"/>
              <w:left w:val="single" w:color="auto" w:sz="4" w:space="0"/>
              <w:bottom w:val="single" w:color="auto" w:sz="12" w:space="0"/>
              <w:right w:val="nil"/>
            </w:tcBorders>
            <w:vAlign w:val="bottom"/>
          </w:tcPr>
          <w:p>
            <w:pPr>
              <w:jc w:val="cente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未到结算期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977" w:type="dxa"/>
            <w:tcBorders>
              <w:top w:val="single" w:color="auto" w:sz="12" w:space="0"/>
              <w:left w:val="nil"/>
              <w:bottom w:val="single" w:color="auto" w:sz="12" w:space="0"/>
              <w:right w:val="single" w:color="auto" w:sz="4" w:space="0"/>
            </w:tcBorders>
            <w:vAlign w:val="bottom"/>
          </w:tcPr>
          <w:p>
            <w:pPr>
              <w:jc w:val="center"/>
              <w:rPr>
                <w:rFonts w:ascii="宋体" w:hAnsi="宋体" w:cs="宋体"/>
                <w:b/>
                <w:bCs/>
                <w:color w:val="auto"/>
                <w:sz w:val="18"/>
                <w:szCs w:val="18"/>
              </w:rPr>
            </w:pPr>
            <w:r>
              <w:rPr>
                <w:rFonts w:hint="eastAsia" w:ascii="宋体" w:hAnsi="宋体"/>
                <w:b/>
                <w:bCs/>
                <w:color w:val="auto"/>
                <w:sz w:val="18"/>
                <w:szCs w:val="18"/>
              </w:rPr>
              <w:t>合计</w:t>
            </w:r>
          </w:p>
        </w:tc>
        <w:tc>
          <w:tcPr>
            <w:tcW w:w="1559" w:type="dxa"/>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3,283,456.07</w:t>
            </w:r>
          </w:p>
        </w:tc>
        <w:tc>
          <w:tcPr>
            <w:tcW w:w="1134" w:type="dxa"/>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w:t>
            </w:r>
          </w:p>
        </w:tc>
        <w:tc>
          <w:tcPr>
            <w:tcW w:w="1418" w:type="dxa"/>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84.28</w:t>
            </w:r>
          </w:p>
        </w:tc>
        <w:tc>
          <w:tcPr>
            <w:tcW w:w="1843" w:type="dxa"/>
            <w:tcBorders>
              <w:top w:val="single" w:color="auto" w:sz="12" w:space="0"/>
              <w:left w:val="single" w:color="auto" w:sz="4" w:space="0"/>
              <w:bottom w:val="single" w:color="auto" w:sz="12" w:space="0"/>
              <w:right w:val="nil"/>
            </w:tcBorders>
            <w:vAlign w:val="bottom"/>
          </w:tcPr>
          <w:p>
            <w:pPr>
              <w:jc w:val="center"/>
              <w:rPr>
                <w:rFonts w:cs="宋体" w:asciiTheme="majorEastAsia" w:hAnsiTheme="majorEastAsia" w:eastAsiaTheme="majorEastAsia"/>
                <w:b/>
                <w:bCs/>
                <w:color w:val="auto"/>
                <w:sz w:val="18"/>
                <w:szCs w:val="18"/>
              </w:rPr>
            </w:pPr>
          </w:p>
        </w:tc>
      </w:tr>
    </w:tbl>
    <w:p>
      <w:pPr>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（3）报告期末预付款项中无预付持公司5%（含5%）以上表决权股份的股东单位的款项。</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7、其他应收款</w:t>
      </w:r>
    </w:p>
    <w:p>
      <w:pPr>
        <w:spacing w:before="150" w:beforeLines="50" w:after="150" w:afterLines="50" w:line="360" w:lineRule="auto"/>
        <w:ind w:firstLine="411" w:firstLineChars="196"/>
        <w:rPr>
          <w:rFonts w:ascii="宋体" w:hAnsi="宋体"/>
          <w:color w:val="auto"/>
          <w:szCs w:val="21"/>
        </w:rPr>
      </w:pPr>
      <w:r>
        <w:rPr>
          <w:rFonts w:hint="eastAsia" w:ascii="宋体" w:hAnsi="宋体"/>
          <w:color w:val="auto"/>
          <w:szCs w:val="21"/>
        </w:rPr>
        <w:t>总体情况列示：</w:t>
      </w:r>
    </w:p>
    <w:tbl>
      <w:tblPr>
        <w:tblStyle w:val="9"/>
        <w:tblW w:w="0" w:type="auto"/>
        <w:tblCaption w:val="&quot;\\lisheng\共享\1、伟隆2022年度审计\1、2022年度审计\1、附注及报告\2022年\附注计算-伟隆 - 2022.xlsx&quot; &quot;2022附注格式!_ReportTable_0025&quot;"/>
        <w:tblDescription w:val="A127:C131"/>
        <w:tblInd w:w="107" w:type="dxa"/>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Layout w:type="fixed"/>
        <w:tblCellMar>
          <w:top w:w="0" w:type="dxa"/>
          <w:left w:w="107" w:type="dxa"/>
          <w:bottom w:w="0" w:type="dxa"/>
          <w:right w:w="107" w:type="dxa"/>
        </w:tblCellMar>
      </w:tblPr>
      <w:tblGrid>
        <w:gridCol w:w="2908"/>
        <w:gridCol w:w="3015"/>
        <w:gridCol w:w="3017"/>
      </w:tblGrid>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PrEx>
        <w:trPr>
          <w:cantSplit/>
          <w:trHeight w:val="454" w:hRule="atLeast"/>
        </w:trPr>
        <w:tc>
          <w:tcPr>
            <w:tcW w:w="2908" w:type="dxa"/>
            <w:tcBorders>
              <w:bottom w:val="single" w:color="000000" w:sz="12" w:space="0"/>
            </w:tcBorders>
            <w:vAlign w:val="center"/>
          </w:tcPr>
          <w:p>
            <w:pPr>
              <w:ind w:firstLine="361"/>
              <w:jc w:val="center"/>
              <w:rPr>
                <w:rFonts w:ascii="宋体" w:hAnsi="宋体"/>
                <w:b/>
                <w:color w:val="auto"/>
                <w:sz w:val="18"/>
                <w:szCs w:val="18"/>
              </w:rPr>
            </w:pPr>
            <w:r>
              <w:rPr>
                <w:rFonts w:hint="eastAsia" w:ascii="宋体" w:hAnsi="宋体"/>
                <w:b/>
                <w:color w:val="auto"/>
                <w:sz w:val="18"/>
                <w:szCs w:val="18"/>
              </w:rPr>
              <w:t>项</w:t>
            </w:r>
            <w:r>
              <w:rPr>
                <w:rFonts w:ascii="宋体" w:hAnsi="宋体"/>
                <w:b/>
                <w:color w:val="auto"/>
                <w:sz w:val="18"/>
                <w:szCs w:val="18"/>
              </w:rPr>
              <w:t xml:space="preserve">  目</w:t>
            </w:r>
          </w:p>
        </w:tc>
        <w:tc>
          <w:tcPr>
            <w:tcW w:w="3015" w:type="dxa"/>
            <w:tcBorders>
              <w:bottom w:val="single" w:color="000000" w:sz="12" w:space="0"/>
            </w:tcBorders>
            <w:vAlign w:val="center"/>
          </w:tcPr>
          <w:p>
            <w:pPr>
              <w:ind w:firstLine="361"/>
              <w:jc w:val="center"/>
              <w:rPr>
                <w:rFonts w:ascii="宋体"/>
                <w:b/>
                <w:color w:val="auto"/>
                <w:sz w:val="18"/>
                <w:szCs w:val="18"/>
              </w:rPr>
            </w:pPr>
            <w:r>
              <w:rPr>
                <w:rFonts w:hint="eastAsia" w:ascii="宋体" w:hAnsi="宋体"/>
                <w:b/>
                <w:color w:val="auto"/>
                <w:sz w:val="18"/>
                <w:szCs w:val="18"/>
              </w:rPr>
              <w:t>期末余额</w:t>
            </w:r>
          </w:p>
        </w:tc>
        <w:tc>
          <w:tcPr>
            <w:tcW w:w="3017" w:type="dxa"/>
            <w:tcBorders>
              <w:bottom w:val="single" w:color="000000" w:sz="12" w:space="0"/>
            </w:tcBorders>
            <w:vAlign w:val="center"/>
          </w:tcPr>
          <w:p>
            <w:pPr>
              <w:ind w:firstLine="361"/>
              <w:jc w:val="center"/>
              <w:rPr>
                <w:rFonts w:ascii="宋体"/>
                <w:b/>
                <w:color w:val="auto"/>
                <w:sz w:val="18"/>
                <w:szCs w:val="18"/>
              </w:rPr>
            </w:pPr>
            <w:r>
              <w:rPr>
                <w:rFonts w:hint="eastAsia" w:ascii="宋体" w:hAnsi="宋体"/>
                <w:b/>
                <w:color w:val="auto"/>
                <w:sz w:val="18"/>
                <w:szCs w:val="18"/>
              </w:rPr>
              <w:t>期初余额</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107" w:type="dxa"/>
            <w:bottom w:w="0" w:type="dxa"/>
            <w:right w:w="107" w:type="dxa"/>
          </w:tblCellMar>
        </w:tblPrEx>
        <w:trPr>
          <w:cantSplit/>
          <w:trHeight w:val="454" w:hRule="atLeast"/>
        </w:trPr>
        <w:tc>
          <w:tcPr>
            <w:tcW w:w="2908" w:type="dxa"/>
            <w:tcBorders>
              <w:top w:val="single" w:color="000000" w:sz="4" w:space="0"/>
              <w:bottom w:val="single" w:color="auto" w:sz="4" w:space="0"/>
            </w:tcBorders>
            <w:vAlign w:val="bottom"/>
          </w:tcPr>
          <w:p>
            <w:pPr>
              <w:rPr>
                <w:rFonts w:ascii="宋体" w:hAnsi="宋体"/>
                <w:color w:val="auto"/>
                <w:sz w:val="18"/>
                <w:szCs w:val="18"/>
              </w:rPr>
            </w:pPr>
            <w:r>
              <w:rPr>
                <w:rFonts w:hint="eastAsia" w:ascii="宋体" w:hAnsi="宋体"/>
                <w:color w:val="auto"/>
                <w:sz w:val="18"/>
                <w:szCs w:val="18"/>
              </w:rPr>
              <w:t>应收利息</w:t>
            </w:r>
          </w:p>
        </w:tc>
        <w:tc>
          <w:tcPr>
            <w:tcW w:w="3015" w:type="dxa"/>
            <w:tcBorders>
              <w:top w:val="single" w:color="000000" w:sz="4" w:space="0"/>
              <w:bottom w:val="single" w:color="auto" w:sz="4" w:space="0"/>
            </w:tcBorders>
            <w:vAlign w:val="bottom"/>
          </w:tcPr>
          <w:p>
            <w:pPr>
              <w:jc w:val="right"/>
              <w:rPr>
                <w:rFonts w:asciiTheme="majorEastAsia" w:hAnsiTheme="majorEastAsia" w:eastAsiaTheme="majorEastAsia"/>
                <w:color w:val="auto"/>
                <w:sz w:val="18"/>
                <w:szCs w:val="18"/>
              </w:rPr>
            </w:pPr>
          </w:p>
        </w:tc>
        <w:tc>
          <w:tcPr>
            <w:tcW w:w="3017" w:type="dxa"/>
            <w:tcBorders>
              <w:top w:val="single" w:color="000000" w:sz="4" w:space="0"/>
              <w:bottom w:val="single" w:color="auto" w:sz="4" w:space="0"/>
            </w:tcBorders>
            <w:vAlign w:val="bottom"/>
          </w:tcPr>
          <w:p>
            <w:pPr>
              <w:jc w:val="right"/>
              <w:rPr>
                <w:rFonts w:asciiTheme="minorEastAsia" w:hAnsiTheme="minorEastAsia" w:eastAsiaTheme="minorEastAsia"/>
                <w:color w:val="auto"/>
                <w:sz w:val="18"/>
                <w:szCs w:val="18"/>
              </w:rPr>
            </w:pP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PrEx>
        <w:trPr>
          <w:cantSplit/>
          <w:trHeight w:val="454" w:hRule="atLeast"/>
        </w:trPr>
        <w:tc>
          <w:tcPr>
            <w:tcW w:w="2908" w:type="dxa"/>
            <w:tcBorders>
              <w:top w:val="single" w:color="000000" w:sz="4" w:space="0"/>
              <w:bottom w:val="single" w:color="auto" w:sz="4" w:space="0"/>
            </w:tcBorders>
            <w:vAlign w:val="bottom"/>
          </w:tcPr>
          <w:p>
            <w:pPr>
              <w:rPr>
                <w:rFonts w:ascii="宋体" w:hAnsi="宋体"/>
                <w:color w:val="auto"/>
                <w:sz w:val="18"/>
                <w:szCs w:val="18"/>
              </w:rPr>
            </w:pPr>
            <w:r>
              <w:rPr>
                <w:rFonts w:hint="eastAsia" w:ascii="宋体" w:hAnsi="宋体"/>
                <w:color w:val="auto"/>
                <w:sz w:val="18"/>
                <w:szCs w:val="18"/>
              </w:rPr>
              <w:t>应收股利</w:t>
            </w:r>
          </w:p>
        </w:tc>
        <w:tc>
          <w:tcPr>
            <w:tcW w:w="3015" w:type="dxa"/>
            <w:tcBorders>
              <w:top w:val="single" w:color="000000" w:sz="4" w:space="0"/>
              <w:bottom w:val="single" w:color="auto" w:sz="4" w:space="0"/>
            </w:tcBorders>
            <w:vAlign w:val="bottom"/>
          </w:tcPr>
          <w:p>
            <w:pPr>
              <w:jc w:val="right"/>
              <w:rPr>
                <w:rFonts w:cs="宋体" w:asciiTheme="majorEastAsia" w:hAnsiTheme="majorEastAsia" w:eastAsiaTheme="majorEastAsia"/>
                <w:color w:val="auto"/>
                <w:sz w:val="18"/>
                <w:szCs w:val="18"/>
              </w:rPr>
            </w:pPr>
          </w:p>
        </w:tc>
        <w:tc>
          <w:tcPr>
            <w:tcW w:w="3017" w:type="dxa"/>
            <w:tcBorders>
              <w:top w:val="single" w:color="000000" w:sz="4" w:space="0"/>
              <w:bottom w:val="single" w:color="auto" w:sz="4" w:space="0"/>
            </w:tcBorders>
            <w:vAlign w:val="bottom"/>
          </w:tcPr>
          <w:p>
            <w:pPr>
              <w:jc w:val="right"/>
              <w:rPr>
                <w:rFonts w:asciiTheme="minorEastAsia" w:hAnsiTheme="minorEastAsia" w:eastAsiaTheme="minorEastAsia"/>
                <w:color w:val="auto"/>
                <w:sz w:val="18"/>
                <w:szCs w:val="18"/>
              </w:rPr>
            </w:pP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PrEx>
        <w:trPr>
          <w:cantSplit/>
          <w:trHeight w:val="454" w:hRule="atLeast"/>
        </w:trPr>
        <w:tc>
          <w:tcPr>
            <w:tcW w:w="2908" w:type="dxa"/>
            <w:tcBorders>
              <w:top w:val="single" w:color="auto" w:sz="4" w:space="0"/>
            </w:tcBorders>
            <w:vAlign w:val="bottom"/>
          </w:tcPr>
          <w:p>
            <w:pPr>
              <w:rPr>
                <w:rFonts w:ascii="宋体" w:hAnsi="宋体"/>
                <w:color w:val="auto"/>
                <w:sz w:val="18"/>
                <w:szCs w:val="18"/>
              </w:rPr>
            </w:pPr>
            <w:r>
              <w:rPr>
                <w:rFonts w:hint="eastAsia" w:ascii="宋体" w:hAnsi="宋体"/>
                <w:color w:val="auto"/>
                <w:sz w:val="18"/>
                <w:szCs w:val="18"/>
              </w:rPr>
              <w:t>其他应收款</w:t>
            </w:r>
          </w:p>
        </w:tc>
        <w:tc>
          <w:tcPr>
            <w:tcW w:w="3015" w:type="dxa"/>
            <w:tcBorders>
              <w:top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5,246,790.76</w:t>
            </w:r>
          </w:p>
        </w:tc>
        <w:tc>
          <w:tcPr>
            <w:tcW w:w="3017" w:type="dxa"/>
            <w:tcBorders>
              <w:top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6,012,212.39 </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PrEx>
        <w:trPr>
          <w:cantSplit/>
          <w:trHeight w:val="454" w:hRule="atLeast"/>
        </w:trPr>
        <w:tc>
          <w:tcPr>
            <w:tcW w:w="2908" w:type="dxa"/>
            <w:vAlign w:val="bottom"/>
          </w:tcPr>
          <w:p>
            <w:pPr>
              <w:ind w:firstLine="361"/>
              <w:jc w:val="center"/>
              <w:rPr>
                <w:rFonts w:ascii="宋体" w:hAnsi="宋体"/>
                <w:b/>
                <w:color w:val="auto"/>
                <w:sz w:val="18"/>
                <w:szCs w:val="18"/>
              </w:rPr>
            </w:pPr>
            <w:r>
              <w:rPr>
                <w:rFonts w:hint="eastAsia" w:ascii="宋体" w:hAnsi="宋体"/>
                <w:b/>
                <w:color w:val="auto"/>
                <w:sz w:val="18"/>
                <w:szCs w:val="18"/>
              </w:rPr>
              <w:t>合计</w:t>
            </w:r>
          </w:p>
        </w:tc>
        <w:tc>
          <w:tcPr>
            <w:tcW w:w="3015" w:type="dxa"/>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5,246,790.76</w:t>
            </w:r>
          </w:p>
        </w:tc>
        <w:tc>
          <w:tcPr>
            <w:tcW w:w="3017" w:type="dxa"/>
            <w:vAlign w:val="bottom"/>
          </w:tcPr>
          <w:p>
            <w:pPr>
              <w:jc w:val="right"/>
              <w:rPr>
                <w:rFonts w:cs="宋体" w:asciiTheme="minorEastAsia" w:hAnsiTheme="minorEastAsia" w:eastAsiaTheme="minorEastAsia"/>
                <w:b/>
                <w:bCs/>
                <w:color w:val="auto"/>
                <w:sz w:val="18"/>
                <w:szCs w:val="18"/>
              </w:rPr>
            </w:pPr>
            <w:r>
              <w:rPr>
                <w:rFonts w:ascii="宋体" w:hAnsi="宋体" w:cs="宋体"/>
                <w:b/>
                <w:bCs/>
                <w:color w:val="auto"/>
                <w:kern w:val="0"/>
                <w:sz w:val="18"/>
                <w:szCs w:val="18"/>
              </w:rPr>
              <w:t xml:space="preserve">6,012,212.39 </w:t>
            </w:r>
          </w:p>
        </w:tc>
      </w:tr>
    </w:tbl>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（1）应收利息：无</w:t>
      </w:r>
    </w:p>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（2）应收股利：无</w:t>
      </w:r>
    </w:p>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（3）其他应收款：</w:t>
      </w:r>
    </w:p>
    <w:p>
      <w:pPr>
        <w:tabs>
          <w:tab w:val="left" w:pos="2398"/>
        </w:tabs>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①按账龄披露：</w:t>
      </w:r>
    </w:p>
    <w:tbl>
      <w:tblPr>
        <w:tblStyle w:val="9"/>
        <w:tblW w:w="5000" w:type="pct"/>
        <w:tblCaption w:val="&quot;\\lisheng\共享\1、伟隆2022年度审计\1、2022年度审计\1、附注及报告\2022年\附注计算-伟隆 - 2022.xlsx&quot; &quot;2022附注格式!_ReportTable_0026&quot;"/>
        <w:tblDescription w:val="A136:B143"/>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4926"/>
        <w:gridCol w:w="4927"/>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blHeader/>
        </w:trPr>
        <w:tc>
          <w:tcPr>
            <w:tcW w:w="2500" w:type="pct"/>
            <w:tcBorders>
              <w:top w:val="single" w:color="auto" w:sz="12" w:space="0"/>
              <w:bottom w:val="single" w:color="auto" w:sz="12" w:space="0"/>
              <w:right w:val="single" w:color="auto" w:sz="4" w:space="0"/>
            </w:tcBorders>
            <w:vAlign w:val="center"/>
          </w:tcPr>
          <w:p>
            <w:pPr>
              <w:jc w:val="center"/>
              <w:rPr>
                <w:b/>
                <w:color w:val="auto"/>
                <w:sz w:val="20"/>
                <w:szCs w:val="22"/>
              </w:rPr>
            </w:pPr>
            <w:r>
              <w:rPr>
                <w:rFonts w:hint="eastAsia"/>
                <w:b/>
                <w:color w:val="auto"/>
                <w:sz w:val="20"/>
                <w:szCs w:val="22"/>
              </w:rPr>
              <w:t>账  龄</w:t>
            </w:r>
          </w:p>
        </w:tc>
        <w:tc>
          <w:tcPr>
            <w:tcW w:w="2500" w:type="pct"/>
            <w:tcBorders>
              <w:top w:val="single" w:color="auto" w:sz="12" w:space="0"/>
              <w:left w:val="single" w:color="auto" w:sz="4" w:space="0"/>
              <w:bottom w:val="single" w:color="auto" w:sz="12" w:space="0"/>
              <w:right w:val="nil"/>
            </w:tcBorders>
            <w:vAlign w:val="center"/>
          </w:tcPr>
          <w:p>
            <w:pPr>
              <w:jc w:val="center"/>
              <w:rPr>
                <w:rFonts w:ascii="宋体"/>
                <w:b/>
                <w:color w:val="auto"/>
                <w:sz w:val="18"/>
                <w:szCs w:val="18"/>
              </w:rPr>
            </w:pPr>
            <w:r>
              <w:rPr>
                <w:rFonts w:hint="eastAsia" w:ascii="宋体" w:hAnsi="宋体"/>
                <w:b/>
                <w:color w:val="auto"/>
                <w:sz w:val="18"/>
                <w:szCs w:val="18"/>
              </w:rPr>
              <w:t>账面余额</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2500" w:type="pct"/>
            <w:tcBorders>
              <w:top w:val="single" w:color="auto" w:sz="12" w:space="0"/>
              <w:bottom w:val="single" w:color="auto" w:sz="6" w:space="0"/>
              <w:right w:val="single" w:color="auto" w:sz="4" w:space="0"/>
            </w:tcBorders>
            <w:vAlign w:val="bottom"/>
          </w:tcPr>
          <w:p>
            <w:pPr>
              <w:rPr>
                <w:rFonts w:ascii="宋体" w:hAnsi="宋体"/>
                <w:color w:val="auto"/>
                <w:sz w:val="18"/>
                <w:szCs w:val="18"/>
              </w:rPr>
            </w:pPr>
            <w:r>
              <w:rPr>
                <w:rFonts w:ascii="宋体" w:hAnsi="宋体"/>
                <w:color w:val="auto"/>
                <w:sz w:val="18"/>
                <w:szCs w:val="18"/>
              </w:rPr>
              <w:t>1年以内（含1年）</w:t>
            </w:r>
          </w:p>
        </w:tc>
        <w:tc>
          <w:tcPr>
            <w:tcW w:w="2500" w:type="pct"/>
            <w:tcBorders>
              <w:top w:val="single" w:color="auto" w:sz="12" w:space="0"/>
              <w:left w:val="single" w:color="auto" w:sz="4" w:space="0"/>
              <w:bottom w:val="single" w:color="auto" w:sz="6"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5,019,082.59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2500" w:type="pct"/>
            <w:tcBorders>
              <w:top w:val="single" w:color="auto" w:sz="6" w:space="0"/>
              <w:bottom w:val="single" w:color="auto" w:sz="6" w:space="0"/>
              <w:right w:val="single" w:color="auto" w:sz="4" w:space="0"/>
            </w:tcBorders>
            <w:vAlign w:val="bottom"/>
          </w:tcPr>
          <w:p>
            <w:pPr>
              <w:rPr>
                <w:rFonts w:ascii="宋体" w:hAnsi="宋体"/>
                <w:color w:val="auto"/>
                <w:sz w:val="18"/>
                <w:szCs w:val="18"/>
              </w:rPr>
            </w:pPr>
            <w:r>
              <w:rPr>
                <w:rFonts w:ascii="宋体" w:hAnsi="宋体"/>
                <w:color w:val="auto"/>
                <w:sz w:val="18"/>
                <w:szCs w:val="18"/>
              </w:rPr>
              <w:t>1至2年（含2年）</w:t>
            </w:r>
          </w:p>
        </w:tc>
        <w:tc>
          <w:tcPr>
            <w:tcW w:w="2500" w:type="pct"/>
            <w:tcBorders>
              <w:top w:val="single" w:color="auto" w:sz="6" w:space="0"/>
              <w:left w:val="single" w:color="auto" w:sz="4" w:space="0"/>
              <w:bottom w:val="single" w:color="auto" w:sz="6"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531,847.01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2500" w:type="pct"/>
            <w:tcBorders>
              <w:top w:val="single" w:color="auto" w:sz="6" w:space="0"/>
              <w:bottom w:val="single" w:color="auto" w:sz="6" w:space="0"/>
              <w:right w:val="single" w:color="auto" w:sz="4" w:space="0"/>
            </w:tcBorders>
            <w:vAlign w:val="bottom"/>
          </w:tcPr>
          <w:p>
            <w:pPr>
              <w:rPr>
                <w:rFonts w:ascii="宋体" w:hAnsi="宋体"/>
                <w:color w:val="auto"/>
                <w:sz w:val="18"/>
                <w:szCs w:val="18"/>
              </w:rPr>
            </w:pPr>
            <w:r>
              <w:rPr>
                <w:rFonts w:ascii="宋体" w:hAnsi="宋体"/>
                <w:color w:val="auto"/>
                <w:sz w:val="18"/>
                <w:szCs w:val="18"/>
              </w:rPr>
              <w:t>2至3年（含3年）</w:t>
            </w:r>
          </w:p>
        </w:tc>
        <w:tc>
          <w:tcPr>
            <w:tcW w:w="2500" w:type="pct"/>
            <w:tcBorders>
              <w:top w:val="single" w:color="auto" w:sz="6" w:space="0"/>
              <w:left w:val="single" w:color="auto" w:sz="4" w:space="0"/>
              <w:bottom w:val="single" w:color="auto" w:sz="6" w:space="0"/>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2500" w:type="pct"/>
            <w:tcBorders>
              <w:top w:val="single" w:color="auto" w:sz="6" w:space="0"/>
              <w:bottom w:val="single" w:color="auto" w:sz="6" w:space="0"/>
              <w:right w:val="single" w:color="auto" w:sz="4" w:space="0"/>
            </w:tcBorders>
            <w:vAlign w:val="bottom"/>
          </w:tcPr>
          <w:p>
            <w:pPr>
              <w:rPr>
                <w:rFonts w:ascii="宋体" w:hAnsi="宋体"/>
                <w:color w:val="auto"/>
                <w:sz w:val="18"/>
                <w:szCs w:val="18"/>
              </w:rPr>
            </w:pPr>
            <w:r>
              <w:rPr>
                <w:rFonts w:ascii="宋体" w:hAnsi="宋体"/>
                <w:color w:val="auto"/>
                <w:sz w:val="18"/>
                <w:szCs w:val="18"/>
              </w:rPr>
              <w:t>3至4年（含4年）</w:t>
            </w:r>
          </w:p>
        </w:tc>
        <w:tc>
          <w:tcPr>
            <w:tcW w:w="2500" w:type="pct"/>
            <w:tcBorders>
              <w:top w:val="single" w:color="auto" w:sz="6" w:space="0"/>
              <w:left w:val="single" w:color="auto" w:sz="4" w:space="0"/>
              <w:bottom w:val="single" w:color="auto" w:sz="6" w:space="0"/>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2500" w:type="pct"/>
            <w:tcBorders>
              <w:top w:val="single" w:color="auto" w:sz="6" w:space="0"/>
              <w:bottom w:val="single" w:color="auto" w:sz="6" w:space="0"/>
              <w:right w:val="single" w:color="auto" w:sz="4" w:space="0"/>
            </w:tcBorders>
            <w:vAlign w:val="bottom"/>
          </w:tcPr>
          <w:p>
            <w:pPr>
              <w:rPr>
                <w:rFonts w:ascii="宋体" w:hAnsi="宋体"/>
                <w:color w:val="auto"/>
                <w:sz w:val="18"/>
                <w:szCs w:val="18"/>
              </w:rPr>
            </w:pPr>
            <w:r>
              <w:rPr>
                <w:rFonts w:ascii="宋体" w:hAnsi="宋体"/>
                <w:color w:val="auto"/>
                <w:sz w:val="18"/>
                <w:szCs w:val="18"/>
              </w:rPr>
              <w:t>4至5年（含5年）</w:t>
            </w:r>
          </w:p>
        </w:tc>
        <w:tc>
          <w:tcPr>
            <w:tcW w:w="2500" w:type="pct"/>
            <w:tcBorders>
              <w:top w:val="single" w:color="auto" w:sz="6" w:space="0"/>
              <w:left w:val="single" w:color="auto" w:sz="4" w:space="0"/>
              <w:bottom w:val="single" w:color="auto" w:sz="6" w:space="0"/>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2500" w:type="pct"/>
            <w:tcBorders>
              <w:top w:val="single" w:color="auto" w:sz="6" w:space="0"/>
              <w:bottom w:val="single" w:color="auto" w:sz="6" w:space="0"/>
              <w:right w:val="single" w:color="auto" w:sz="4" w:space="0"/>
            </w:tcBorders>
            <w:vAlign w:val="bottom"/>
          </w:tcPr>
          <w:p>
            <w:pPr>
              <w:rPr>
                <w:rFonts w:ascii="宋体" w:hAnsi="宋体"/>
                <w:color w:val="auto"/>
                <w:sz w:val="18"/>
                <w:szCs w:val="18"/>
              </w:rPr>
            </w:pPr>
            <w:r>
              <w:rPr>
                <w:rFonts w:ascii="宋体" w:hAnsi="宋体"/>
                <w:color w:val="auto"/>
                <w:sz w:val="18"/>
                <w:szCs w:val="18"/>
              </w:rPr>
              <w:t>5年以上</w:t>
            </w:r>
          </w:p>
        </w:tc>
        <w:tc>
          <w:tcPr>
            <w:tcW w:w="2500" w:type="pct"/>
            <w:tcBorders>
              <w:top w:val="single" w:color="auto" w:sz="6" w:space="0"/>
              <w:left w:val="single" w:color="auto" w:sz="4" w:space="0"/>
              <w:bottom w:val="single" w:color="auto" w:sz="6"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50,000.00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2500" w:type="pct"/>
            <w:tcBorders>
              <w:top w:val="single" w:color="auto" w:sz="12" w:space="0"/>
              <w:bottom w:val="single" w:color="auto" w:sz="12" w:space="0"/>
              <w:right w:val="single" w:color="auto" w:sz="4" w:space="0"/>
            </w:tcBorders>
            <w:vAlign w:val="bottom"/>
          </w:tcPr>
          <w:p>
            <w:pPr>
              <w:jc w:val="center"/>
              <w:rPr>
                <w:b/>
                <w:color w:val="auto"/>
                <w:sz w:val="18"/>
                <w:szCs w:val="18"/>
              </w:rPr>
            </w:pPr>
            <w:r>
              <w:rPr>
                <w:rFonts w:hint="eastAsia"/>
                <w:b/>
                <w:color w:val="auto"/>
                <w:sz w:val="18"/>
                <w:szCs w:val="18"/>
              </w:rPr>
              <w:t>合计</w:t>
            </w:r>
          </w:p>
        </w:tc>
        <w:tc>
          <w:tcPr>
            <w:tcW w:w="2500" w:type="pct"/>
            <w:tcBorders>
              <w:top w:val="single" w:color="auto" w:sz="12" w:space="0"/>
              <w:left w:val="single" w:color="auto" w:sz="4" w:space="0"/>
              <w:bottom w:val="single" w:color="auto" w:sz="12"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5,600,929.60</w:t>
            </w:r>
          </w:p>
        </w:tc>
      </w:tr>
    </w:tbl>
    <w:p>
      <w:pPr>
        <w:tabs>
          <w:tab w:val="left" w:pos="2398"/>
        </w:tabs>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②其他应收款按款项性质分类情况：</w:t>
      </w:r>
    </w:p>
    <w:tbl>
      <w:tblPr>
        <w:tblStyle w:val="9"/>
        <w:tblW w:w="5000" w:type="pct"/>
        <w:tblCaption w:val="&quot;\\lisheng\共享\1、伟隆2022年度审计\1、2022年度审计\1、附注及报告\2022年\附注计算-伟隆 - 2022.xlsx&quot; &quot;2022附注格式!_ReportTable_0027&quot;"/>
        <w:tblDescription w:val="A145:C149"/>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3283"/>
        <w:gridCol w:w="3284"/>
        <w:gridCol w:w="3286"/>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1666" w:type="pct"/>
            <w:tcBorders>
              <w:top w:val="single" w:color="auto" w:sz="12" w:space="0"/>
              <w:bottom w:val="single" w:color="auto" w:sz="12" w:space="0"/>
              <w:right w:val="single" w:color="auto" w:sz="4" w:space="0"/>
            </w:tcBorders>
            <w:vAlign w:val="center"/>
          </w:tcPr>
          <w:p>
            <w:pPr>
              <w:jc w:val="center"/>
              <w:rPr>
                <w:rFonts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款项性质</w:t>
            </w:r>
          </w:p>
        </w:tc>
        <w:tc>
          <w:tcPr>
            <w:tcW w:w="1666" w:type="pct"/>
            <w:tcBorders>
              <w:top w:val="single" w:color="auto" w:sz="12" w:space="0"/>
              <w:left w:val="single" w:color="auto" w:sz="4" w:space="0"/>
              <w:bottom w:val="single" w:color="auto" w:sz="12" w:space="0"/>
              <w:right w:val="single" w:color="auto" w:sz="4" w:space="0"/>
            </w:tcBorders>
            <w:vAlign w:val="center"/>
          </w:tcPr>
          <w:p>
            <w:pPr>
              <w:ind w:firstLine="361"/>
              <w:jc w:val="center"/>
              <w:rPr>
                <w:rFonts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期末余额</w:t>
            </w:r>
          </w:p>
        </w:tc>
        <w:tc>
          <w:tcPr>
            <w:tcW w:w="1667" w:type="pct"/>
            <w:tcBorders>
              <w:top w:val="single" w:color="auto" w:sz="12" w:space="0"/>
              <w:left w:val="single" w:color="auto" w:sz="4" w:space="0"/>
              <w:bottom w:val="single" w:color="auto" w:sz="12" w:space="0"/>
            </w:tcBorders>
            <w:vAlign w:val="center"/>
          </w:tcPr>
          <w:p>
            <w:pPr>
              <w:ind w:firstLine="361"/>
              <w:jc w:val="center"/>
              <w:rPr>
                <w:rFonts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期初余额</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1666" w:type="pct"/>
            <w:tcBorders>
              <w:top w:val="single" w:color="auto" w:sz="12" w:space="0"/>
              <w:bottom w:val="single" w:color="auto" w:sz="4" w:space="0"/>
              <w:right w:val="single" w:color="auto" w:sz="4" w:space="0"/>
            </w:tcBorders>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出口退税</w:t>
            </w:r>
          </w:p>
        </w:tc>
        <w:tc>
          <w:tcPr>
            <w:tcW w:w="1666"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3,476,672.26</w:t>
            </w:r>
          </w:p>
        </w:tc>
        <w:tc>
          <w:tcPr>
            <w:tcW w:w="1667" w:type="pct"/>
            <w:tcBorders>
              <w:top w:val="single" w:color="auto" w:sz="12"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4,276,202.06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1666" w:type="pct"/>
            <w:tcBorders>
              <w:top w:val="single" w:color="auto" w:sz="4" w:space="0"/>
              <w:bottom w:val="single" w:color="auto" w:sz="4" w:space="0"/>
              <w:right w:val="single" w:color="auto" w:sz="4" w:space="0"/>
            </w:tcBorders>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保证金</w:t>
            </w:r>
          </w:p>
        </w:tc>
        <w:tc>
          <w:tcPr>
            <w:tcW w:w="1666"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556,544.82</w:t>
            </w:r>
          </w:p>
        </w:tc>
        <w:tc>
          <w:tcPr>
            <w:tcW w:w="1667"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380,767.91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1666" w:type="pct"/>
            <w:tcBorders>
              <w:top w:val="single" w:color="auto" w:sz="4" w:space="0"/>
              <w:bottom w:val="single" w:color="auto" w:sz="12" w:space="0"/>
              <w:right w:val="single" w:color="auto" w:sz="4" w:space="0"/>
            </w:tcBorders>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往来及其他</w:t>
            </w:r>
          </w:p>
        </w:tc>
        <w:tc>
          <w:tcPr>
            <w:tcW w:w="1666" w:type="pct"/>
            <w:tcBorders>
              <w:top w:val="single" w:color="auto" w:sz="4"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1,567,712.52</w:t>
            </w:r>
          </w:p>
        </w:tc>
        <w:tc>
          <w:tcPr>
            <w:tcW w:w="1667" w:type="pct"/>
            <w:tcBorders>
              <w:top w:val="single" w:color="auto" w:sz="4" w:space="0"/>
              <w:left w:val="single" w:color="auto" w:sz="4" w:space="0"/>
              <w:bottom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1,826,147.01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1666" w:type="pct"/>
            <w:tcBorders>
              <w:top w:val="single" w:color="auto" w:sz="12" w:space="0"/>
              <w:bottom w:val="single" w:color="auto" w:sz="12" w:space="0"/>
              <w:right w:val="single" w:color="auto" w:sz="4" w:space="0"/>
            </w:tcBorders>
            <w:vAlign w:val="bottom"/>
          </w:tcPr>
          <w:p>
            <w:pPr>
              <w:jc w:val="center"/>
              <w:rPr>
                <w:rFonts w:ascii="宋体" w:hAnsi="宋体" w:cs="宋体"/>
                <w:b/>
                <w:bCs/>
                <w:color w:val="auto"/>
                <w:sz w:val="18"/>
                <w:szCs w:val="18"/>
              </w:rPr>
            </w:pPr>
            <w:r>
              <w:rPr>
                <w:rFonts w:hint="eastAsia"/>
                <w:b/>
                <w:bCs/>
                <w:color w:val="auto"/>
                <w:sz w:val="18"/>
                <w:szCs w:val="18"/>
              </w:rPr>
              <w:t>合计</w:t>
            </w:r>
          </w:p>
        </w:tc>
        <w:tc>
          <w:tcPr>
            <w:tcW w:w="1666"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5,600,929.60</w:t>
            </w:r>
          </w:p>
        </w:tc>
        <w:tc>
          <w:tcPr>
            <w:tcW w:w="1667" w:type="pct"/>
            <w:tcBorders>
              <w:top w:val="single" w:color="auto" w:sz="12" w:space="0"/>
              <w:left w:val="single" w:color="auto" w:sz="4"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6,483,116.98 </w:t>
            </w:r>
          </w:p>
        </w:tc>
      </w:tr>
    </w:tbl>
    <w:p>
      <w:pPr>
        <w:tabs>
          <w:tab w:val="left" w:pos="2398"/>
        </w:tabs>
        <w:spacing w:before="150" w:beforeLines="50" w:after="150" w:afterLines="50" w:line="360" w:lineRule="auto"/>
        <w:ind w:firstLine="420" w:firstLineChars="200"/>
        <w:rPr>
          <w:rFonts w:ascii="宋体" w:hAnsi="宋体"/>
          <w:bCs/>
          <w:color w:val="auto"/>
          <w:szCs w:val="21"/>
        </w:rPr>
      </w:pPr>
      <w:r>
        <w:rPr>
          <w:rFonts w:ascii="宋体" w:hAnsi="宋体"/>
          <w:bCs/>
          <w:color w:val="auto"/>
          <w:szCs w:val="21"/>
        </w:rPr>
        <w:fldChar w:fldCharType="begin"/>
      </w:r>
      <w:r>
        <w:rPr>
          <w:rFonts w:hint="eastAsia" w:ascii="宋体" w:hAnsi="宋体"/>
          <w:bCs/>
          <w:color w:val="auto"/>
          <w:szCs w:val="21"/>
        </w:rPr>
        <w:instrText xml:space="preserve">= 3 \* GB3</w:instrText>
      </w:r>
      <w:r>
        <w:rPr>
          <w:rFonts w:ascii="宋体" w:hAnsi="宋体"/>
          <w:bCs/>
          <w:color w:val="auto"/>
          <w:szCs w:val="21"/>
        </w:rPr>
        <w:fldChar w:fldCharType="separate"/>
      </w:r>
      <w:r>
        <w:rPr>
          <w:rFonts w:hint="eastAsia" w:ascii="宋体" w:hAnsi="宋体"/>
          <w:bCs/>
          <w:color w:val="auto"/>
          <w:szCs w:val="21"/>
        </w:rPr>
        <w:t>③</w:t>
      </w:r>
      <w:r>
        <w:rPr>
          <w:rFonts w:ascii="宋体" w:hAnsi="宋体"/>
          <w:bCs/>
          <w:color w:val="auto"/>
          <w:szCs w:val="21"/>
        </w:rPr>
        <w:fldChar w:fldCharType="end"/>
      </w:r>
      <w:r>
        <w:rPr>
          <w:rFonts w:hint="eastAsia" w:ascii="宋体" w:hAnsi="宋体"/>
          <w:bCs/>
          <w:color w:val="auto"/>
          <w:szCs w:val="21"/>
        </w:rPr>
        <w:t>坏账准备计提情况：</w:t>
      </w:r>
    </w:p>
    <w:tbl>
      <w:tblPr>
        <w:tblStyle w:val="9"/>
        <w:tblW w:w="5000" w:type="pct"/>
        <w:tblCaption w:val="&quot;\\lisheng\共享\1、伟隆2022年度审计\1、2022年度审计\1、附注及报告\2022年\附注计算-伟隆 - 2022.xlsx&quot; &quot;2022附注格式!_ReportTable_0028&quot;"/>
        <w:tblDescription w:val="A151:E164"/>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28" w:type="dxa"/>
          <w:bottom w:w="0" w:type="dxa"/>
          <w:right w:w="28" w:type="dxa"/>
        </w:tblCellMar>
      </w:tblPr>
      <w:tblGrid>
        <w:gridCol w:w="1940"/>
        <w:gridCol w:w="1671"/>
        <w:gridCol w:w="2127"/>
        <w:gridCol w:w="2127"/>
        <w:gridCol w:w="1828"/>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01" w:type="pct"/>
            <w:vMerge w:val="restart"/>
            <w:tcBorders>
              <w:top w:val="single" w:color="auto" w:sz="12" w:space="0"/>
              <w:bottom w:val="single" w:color="auto" w:sz="8"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坏账准备</w:t>
            </w:r>
          </w:p>
        </w:tc>
        <w:tc>
          <w:tcPr>
            <w:tcW w:w="862" w:type="pct"/>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第一阶段</w:t>
            </w:r>
          </w:p>
        </w:tc>
        <w:tc>
          <w:tcPr>
            <w:tcW w:w="1097" w:type="pct"/>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第二阶段</w:t>
            </w:r>
          </w:p>
        </w:tc>
        <w:tc>
          <w:tcPr>
            <w:tcW w:w="1097" w:type="pct"/>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第三阶段</w:t>
            </w:r>
          </w:p>
        </w:tc>
        <w:tc>
          <w:tcPr>
            <w:tcW w:w="943" w:type="pct"/>
            <w:vMerge w:val="restart"/>
            <w:tcBorders>
              <w:top w:val="single" w:color="auto" w:sz="12" w:space="0"/>
              <w:left w:val="single" w:color="auto" w:sz="4" w:space="0"/>
              <w:bottom w:val="single" w:color="auto" w:sz="12" w:space="0"/>
            </w:tcBorders>
            <w:vAlign w:val="center"/>
          </w:tcPr>
          <w:p>
            <w:pPr>
              <w:jc w:val="center"/>
              <w:rPr>
                <w:rFonts w:ascii="宋体" w:hAnsi="宋体"/>
                <w:b/>
                <w:color w:val="auto"/>
                <w:sz w:val="18"/>
                <w:szCs w:val="18"/>
              </w:rPr>
            </w:pPr>
            <w:r>
              <w:rPr>
                <w:rFonts w:hint="eastAsia" w:ascii="宋体" w:hAnsi="宋体"/>
                <w:b/>
                <w:color w:val="auto"/>
                <w:sz w:val="18"/>
                <w:szCs w:val="18"/>
              </w:rPr>
              <w:t>合计</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01" w:type="pct"/>
            <w:vMerge w:val="continue"/>
            <w:tcBorders>
              <w:top w:val="single" w:color="auto" w:sz="8" w:space="0"/>
              <w:bottom w:val="single" w:color="auto" w:sz="12" w:space="0"/>
              <w:right w:val="single" w:color="auto" w:sz="4" w:space="0"/>
            </w:tcBorders>
            <w:vAlign w:val="center"/>
          </w:tcPr>
          <w:p>
            <w:pPr>
              <w:jc w:val="center"/>
              <w:rPr>
                <w:rFonts w:ascii="宋体" w:hAnsi="宋体"/>
                <w:color w:val="auto"/>
                <w:sz w:val="18"/>
                <w:szCs w:val="18"/>
              </w:rPr>
            </w:pPr>
          </w:p>
        </w:tc>
        <w:tc>
          <w:tcPr>
            <w:tcW w:w="862"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未来</w:t>
            </w:r>
            <w:r>
              <w:rPr>
                <w:rFonts w:ascii="宋体" w:hAnsi="宋体"/>
                <w:b/>
                <w:color w:val="auto"/>
                <w:sz w:val="18"/>
                <w:szCs w:val="18"/>
              </w:rPr>
              <w:t>12个月预期信用损失</w:t>
            </w:r>
          </w:p>
        </w:tc>
        <w:tc>
          <w:tcPr>
            <w:tcW w:w="1097"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整个存续期预期信用损失（未发生信用减值）</w:t>
            </w:r>
          </w:p>
        </w:tc>
        <w:tc>
          <w:tcPr>
            <w:tcW w:w="1097"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整个存续期预期信用损失（已发生信用减值）</w:t>
            </w:r>
          </w:p>
        </w:tc>
        <w:tc>
          <w:tcPr>
            <w:tcW w:w="943" w:type="pct"/>
            <w:vMerge w:val="continue"/>
            <w:tcBorders>
              <w:top w:val="single" w:color="auto" w:sz="8" w:space="0"/>
              <w:left w:val="single" w:color="auto" w:sz="4" w:space="0"/>
              <w:bottom w:val="single" w:color="auto" w:sz="12" w:space="0"/>
            </w:tcBorders>
            <w:vAlign w:val="center"/>
          </w:tcPr>
          <w:p>
            <w:pPr>
              <w:jc w:val="center"/>
              <w:rPr>
                <w:rFonts w:ascii="宋体" w:hAnsi="宋体"/>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01" w:type="pct"/>
            <w:tcBorders>
              <w:top w:val="single" w:color="auto" w:sz="12" w:space="0"/>
              <w:bottom w:val="single" w:color="auto" w:sz="4" w:space="0"/>
              <w:right w:val="single" w:color="auto" w:sz="4" w:space="0"/>
            </w:tcBorders>
            <w:vAlign w:val="bottom"/>
          </w:tcPr>
          <w:p>
            <w:pPr>
              <w:rPr>
                <w:rFonts w:ascii="宋体" w:hAnsi="宋体"/>
                <w:color w:val="auto"/>
                <w:sz w:val="18"/>
                <w:szCs w:val="18"/>
              </w:rPr>
            </w:pPr>
            <w:r>
              <w:rPr>
                <w:rFonts w:ascii="宋体" w:hAnsi="宋体"/>
                <w:color w:val="auto"/>
                <w:sz w:val="18"/>
                <w:szCs w:val="18"/>
              </w:rPr>
              <w:t>2022年1月1日余额</w:t>
            </w:r>
          </w:p>
        </w:tc>
        <w:tc>
          <w:tcPr>
            <w:tcW w:w="862"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470,904.59</w:t>
            </w:r>
          </w:p>
        </w:tc>
        <w:tc>
          <w:tcPr>
            <w:tcW w:w="1097"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943" w:type="pct"/>
            <w:tcBorders>
              <w:top w:val="single" w:color="auto" w:sz="12" w:space="0"/>
              <w:left w:val="single" w:color="auto" w:sz="4" w:space="0"/>
              <w:bottom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470,904.59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ascii="宋体" w:hAnsi="宋体"/>
                <w:color w:val="auto"/>
                <w:sz w:val="18"/>
                <w:szCs w:val="18"/>
              </w:rPr>
              <w:t>2022年1月1日余额在本期</w:t>
            </w:r>
          </w:p>
        </w:tc>
        <w:tc>
          <w:tcPr>
            <w:tcW w:w="86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943" w:type="pct"/>
            <w:tcBorders>
              <w:top w:val="single" w:color="auto" w:sz="4" w:space="0"/>
              <w:left w:val="single" w:color="auto" w:sz="4" w:space="0"/>
              <w:bottom w:val="single" w:color="auto" w:sz="4" w:space="0"/>
            </w:tcBorders>
            <w:vAlign w:val="bottom"/>
          </w:tcPr>
          <w:p>
            <w:pPr>
              <w:jc w:val="right"/>
              <w:rPr>
                <w:rFonts w:ascii="宋体" w:hAnsi="宋体" w:cs="宋体"/>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ascii="宋体" w:hAnsi="宋体"/>
                <w:color w:val="auto"/>
                <w:sz w:val="18"/>
                <w:szCs w:val="18"/>
              </w:rPr>
              <w:t>--转入第二阶段</w:t>
            </w:r>
          </w:p>
        </w:tc>
        <w:tc>
          <w:tcPr>
            <w:tcW w:w="86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943" w:type="pct"/>
            <w:tcBorders>
              <w:top w:val="single" w:color="auto" w:sz="4" w:space="0"/>
              <w:left w:val="single" w:color="auto" w:sz="4" w:space="0"/>
              <w:bottom w:val="single" w:color="auto" w:sz="4" w:space="0"/>
            </w:tcBorders>
            <w:vAlign w:val="bottom"/>
          </w:tcPr>
          <w:p>
            <w:pPr>
              <w:jc w:val="right"/>
              <w:rPr>
                <w:rFonts w:ascii="宋体" w:hAnsi="宋体" w:cs="宋体"/>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ascii="宋体" w:hAnsi="宋体"/>
                <w:color w:val="auto"/>
                <w:sz w:val="18"/>
                <w:szCs w:val="18"/>
              </w:rPr>
              <w:t>--转入第三阶段</w:t>
            </w:r>
          </w:p>
        </w:tc>
        <w:tc>
          <w:tcPr>
            <w:tcW w:w="86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943" w:type="pct"/>
            <w:tcBorders>
              <w:top w:val="single" w:color="auto" w:sz="4" w:space="0"/>
              <w:left w:val="single" w:color="auto" w:sz="4" w:space="0"/>
              <w:bottom w:val="single" w:color="auto" w:sz="4" w:space="0"/>
            </w:tcBorders>
            <w:vAlign w:val="bottom"/>
          </w:tcPr>
          <w:p>
            <w:pPr>
              <w:jc w:val="right"/>
              <w:rPr>
                <w:rFonts w:ascii="宋体" w:hAnsi="宋体" w:cs="宋体"/>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ascii="宋体" w:hAnsi="宋体"/>
                <w:color w:val="auto"/>
                <w:sz w:val="18"/>
                <w:szCs w:val="18"/>
              </w:rPr>
              <w:t>--转回第二阶段</w:t>
            </w:r>
          </w:p>
        </w:tc>
        <w:tc>
          <w:tcPr>
            <w:tcW w:w="86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943" w:type="pct"/>
            <w:tcBorders>
              <w:top w:val="single" w:color="auto" w:sz="4" w:space="0"/>
              <w:left w:val="single" w:color="auto" w:sz="4" w:space="0"/>
              <w:bottom w:val="single" w:color="auto" w:sz="4" w:space="0"/>
            </w:tcBorders>
            <w:vAlign w:val="bottom"/>
          </w:tcPr>
          <w:p>
            <w:pPr>
              <w:jc w:val="right"/>
              <w:rPr>
                <w:rFonts w:ascii="宋体" w:hAnsi="宋体" w:cs="宋体"/>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ascii="宋体" w:hAnsi="宋体"/>
                <w:color w:val="auto"/>
                <w:sz w:val="18"/>
                <w:szCs w:val="18"/>
              </w:rPr>
              <w:t>--转回第一阶段</w:t>
            </w:r>
          </w:p>
        </w:tc>
        <w:tc>
          <w:tcPr>
            <w:tcW w:w="86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943" w:type="pct"/>
            <w:tcBorders>
              <w:top w:val="single" w:color="auto" w:sz="4" w:space="0"/>
              <w:left w:val="single" w:color="auto" w:sz="4" w:space="0"/>
              <w:bottom w:val="single" w:color="auto" w:sz="4" w:space="0"/>
            </w:tcBorders>
            <w:vAlign w:val="bottom"/>
          </w:tcPr>
          <w:p>
            <w:pPr>
              <w:jc w:val="right"/>
              <w:rPr>
                <w:rFonts w:ascii="宋体" w:hAnsi="宋体" w:cs="宋体"/>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本期计提</w:t>
            </w:r>
          </w:p>
        </w:tc>
        <w:tc>
          <w:tcPr>
            <w:tcW w:w="862"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943" w:type="pct"/>
            <w:tcBorders>
              <w:top w:val="single" w:color="auto" w:sz="4" w:space="0"/>
              <w:left w:val="single" w:color="auto" w:sz="4" w:space="0"/>
              <w:bottom w:val="single" w:color="auto" w:sz="4" w:space="0"/>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本期转回</w:t>
            </w:r>
          </w:p>
        </w:tc>
        <w:tc>
          <w:tcPr>
            <w:tcW w:w="862"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116,765.75</w:t>
            </w:r>
          </w:p>
        </w:tc>
        <w:tc>
          <w:tcPr>
            <w:tcW w:w="10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943" w:type="pct"/>
            <w:tcBorders>
              <w:top w:val="single" w:color="auto" w:sz="4" w:space="0"/>
              <w:left w:val="single" w:color="auto" w:sz="4" w:space="0"/>
              <w:bottom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116,765.75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本期转销</w:t>
            </w:r>
          </w:p>
        </w:tc>
        <w:tc>
          <w:tcPr>
            <w:tcW w:w="862"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943" w:type="pct"/>
            <w:tcBorders>
              <w:top w:val="single" w:color="auto" w:sz="4" w:space="0"/>
              <w:left w:val="single" w:color="auto" w:sz="4" w:space="0"/>
              <w:bottom w:val="single" w:color="auto" w:sz="4" w:space="0"/>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本期核销</w:t>
            </w:r>
          </w:p>
        </w:tc>
        <w:tc>
          <w:tcPr>
            <w:tcW w:w="862"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943" w:type="pct"/>
            <w:tcBorders>
              <w:top w:val="single" w:color="auto" w:sz="4" w:space="0"/>
              <w:left w:val="single" w:color="auto" w:sz="4" w:space="0"/>
              <w:bottom w:val="single" w:color="auto" w:sz="4" w:space="0"/>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其他变动</w:t>
            </w:r>
          </w:p>
        </w:tc>
        <w:tc>
          <w:tcPr>
            <w:tcW w:w="862"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943" w:type="pct"/>
            <w:tcBorders>
              <w:top w:val="single" w:color="auto" w:sz="4" w:space="0"/>
              <w:left w:val="single" w:color="auto" w:sz="4" w:space="0"/>
              <w:bottom w:val="single" w:color="auto" w:sz="4" w:space="0"/>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01" w:type="pct"/>
            <w:tcBorders>
              <w:top w:val="single" w:color="auto" w:sz="4" w:space="0"/>
              <w:right w:val="single" w:color="auto" w:sz="4" w:space="0"/>
            </w:tcBorders>
            <w:vAlign w:val="bottom"/>
          </w:tcPr>
          <w:p>
            <w:pPr>
              <w:rPr>
                <w:rFonts w:ascii="宋体" w:hAnsi="宋体"/>
                <w:color w:val="auto"/>
                <w:sz w:val="18"/>
                <w:szCs w:val="18"/>
              </w:rPr>
            </w:pPr>
            <w:r>
              <w:rPr>
                <w:rFonts w:ascii="宋体" w:hAnsi="宋体"/>
                <w:color w:val="auto"/>
                <w:sz w:val="18"/>
                <w:szCs w:val="18"/>
              </w:rPr>
              <w:t>2022年12月31日余额</w:t>
            </w:r>
          </w:p>
        </w:tc>
        <w:tc>
          <w:tcPr>
            <w:tcW w:w="862" w:type="pct"/>
            <w:tcBorders>
              <w:top w:val="single" w:color="auto" w:sz="4" w:space="0"/>
              <w:left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354,138.84</w:t>
            </w:r>
          </w:p>
        </w:tc>
        <w:tc>
          <w:tcPr>
            <w:tcW w:w="1097" w:type="pct"/>
            <w:tcBorders>
              <w:top w:val="single" w:color="auto" w:sz="4" w:space="0"/>
              <w:left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97" w:type="pct"/>
            <w:tcBorders>
              <w:top w:val="single" w:color="auto" w:sz="4" w:space="0"/>
              <w:left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943" w:type="pct"/>
            <w:tcBorders>
              <w:top w:val="single" w:color="auto" w:sz="4" w:space="0"/>
              <w:lef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354,138.84</w:t>
            </w:r>
          </w:p>
        </w:tc>
      </w:tr>
    </w:tbl>
    <w:p>
      <w:pPr>
        <w:tabs>
          <w:tab w:val="left" w:pos="2398"/>
        </w:tabs>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④</w:t>
      </w:r>
      <w:r>
        <w:rPr>
          <w:rFonts w:ascii="宋体" w:hAnsi="宋体"/>
          <w:bCs/>
          <w:color w:val="auto"/>
          <w:szCs w:val="21"/>
        </w:rPr>
        <w:t>本期计提、收回或转回的坏账准备情况</w:t>
      </w:r>
      <w:r>
        <w:rPr>
          <w:rFonts w:hint="eastAsia" w:ascii="宋体" w:hAnsi="宋体"/>
          <w:bCs/>
          <w:color w:val="auto"/>
          <w:szCs w:val="21"/>
        </w:rPr>
        <w:t>：</w:t>
      </w:r>
    </w:p>
    <w:tbl>
      <w:tblPr>
        <w:tblStyle w:val="9"/>
        <w:tblW w:w="5064" w:type="pct"/>
        <w:tblCaption w:val="&quot;\\lisheng\共享\1、伟隆2022年度审计\1、2022年度审计\1、附注及报告\2022年\附注计算-伟隆 - 2022.xlsx&quot; &quot;2022附注格式!_ReportTable_0029&quot;"/>
        <w:tblDescription w:val="A1021:F1025"/>
        <w:tblInd w:w="-114"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28" w:type="dxa"/>
          <w:bottom w:w="0" w:type="dxa"/>
          <w:right w:w="28" w:type="dxa"/>
        </w:tblCellMar>
      </w:tblPr>
      <w:tblGrid>
        <w:gridCol w:w="2156"/>
        <w:gridCol w:w="1692"/>
        <w:gridCol w:w="1306"/>
        <w:gridCol w:w="1433"/>
        <w:gridCol w:w="1616"/>
        <w:gridCol w:w="1614"/>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98" w:type="pct"/>
            <w:vMerge w:val="restart"/>
            <w:tcBorders>
              <w:top w:val="single" w:color="auto" w:sz="12" w:space="0"/>
              <w:bottom w:val="single" w:color="auto" w:sz="8" w:space="0"/>
              <w:right w:val="single" w:color="auto" w:sz="4" w:space="0"/>
            </w:tcBorders>
            <w:shd w:val="clear" w:color="auto" w:fill="auto"/>
            <w:vAlign w:val="center"/>
          </w:tcPr>
          <w:p>
            <w:pPr>
              <w:jc w:val="center"/>
              <w:rPr>
                <w:rFonts w:ascii="宋体"/>
                <w:b/>
                <w:bCs/>
                <w:color w:val="auto"/>
                <w:sz w:val="18"/>
                <w:szCs w:val="18"/>
              </w:rPr>
            </w:pPr>
            <w:r>
              <w:rPr>
                <w:rFonts w:hint="eastAsia" w:ascii="宋体"/>
                <w:b/>
                <w:bCs/>
                <w:color w:val="auto"/>
                <w:sz w:val="18"/>
                <w:szCs w:val="18"/>
              </w:rPr>
              <w:t>类别</w:t>
            </w:r>
          </w:p>
        </w:tc>
        <w:tc>
          <w:tcPr>
            <w:tcW w:w="862" w:type="pct"/>
            <w:vMerge w:val="restart"/>
            <w:tcBorders>
              <w:top w:val="single" w:color="auto" w:sz="12" w:space="0"/>
              <w:left w:val="single" w:color="auto" w:sz="4" w:space="0"/>
              <w:bottom w:val="single" w:color="auto" w:sz="8" w:space="0"/>
              <w:right w:val="single" w:color="auto" w:sz="4" w:space="0"/>
            </w:tcBorders>
            <w:shd w:val="clear" w:color="auto" w:fill="auto"/>
            <w:vAlign w:val="center"/>
          </w:tcPr>
          <w:p>
            <w:pPr>
              <w:jc w:val="center"/>
              <w:rPr>
                <w:b/>
                <w:color w:val="auto"/>
                <w:sz w:val="18"/>
                <w:szCs w:val="18"/>
                <w:shd w:val="clear" w:color="auto" w:fill="FFFFFF"/>
              </w:rPr>
            </w:pPr>
            <w:r>
              <w:rPr>
                <w:rFonts w:hint="eastAsia" w:ascii="宋体"/>
                <w:b/>
                <w:bCs/>
                <w:color w:val="auto"/>
                <w:sz w:val="18"/>
                <w:szCs w:val="18"/>
              </w:rPr>
              <w:t>期初余额</w:t>
            </w:r>
          </w:p>
        </w:tc>
        <w:tc>
          <w:tcPr>
            <w:tcW w:w="2218" w:type="pct"/>
            <w:gridSpan w:val="3"/>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b/>
                <w:color w:val="auto"/>
                <w:sz w:val="18"/>
                <w:szCs w:val="18"/>
                <w:shd w:val="clear" w:color="auto" w:fill="FFFFFF"/>
              </w:rPr>
            </w:pPr>
            <w:r>
              <w:rPr>
                <w:rFonts w:hint="eastAsia"/>
                <w:b/>
                <w:color w:val="auto"/>
                <w:sz w:val="18"/>
                <w:szCs w:val="18"/>
                <w:shd w:val="clear" w:color="auto" w:fill="FFFFFF"/>
              </w:rPr>
              <w:t>本期变动金额</w:t>
            </w:r>
          </w:p>
        </w:tc>
        <w:tc>
          <w:tcPr>
            <w:tcW w:w="822" w:type="pct"/>
            <w:vMerge w:val="restart"/>
            <w:tcBorders>
              <w:top w:val="single" w:color="auto" w:sz="12" w:space="0"/>
              <w:left w:val="single" w:color="auto" w:sz="4" w:space="0"/>
              <w:bottom w:val="single" w:color="auto" w:sz="8" w:space="0"/>
            </w:tcBorders>
            <w:shd w:val="clear" w:color="auto" w:fill="auto"/>
            <w:vAlign w:val="center"/>
          </w:tcPr>
          <w:p>
            <w:pPr>
              <w:jc w:val="center"/>
              <w:rPr>
                <w:b/>
                <w:color w:val="auto"/>
                <w:sz w:val="18"/>
                <w:szCs w:val="18"/>
                <w:shd w:val="clear" w:color="auto" w:fill="FFFFFF"/>
              </w:rPr>
            </w:pPr>
            <w:r>
              <w:rPr>
                <w:rFonts w:hint="eastAsia" w:ascii="宋体"/>
                <w:b/>
                <w:bCs/>
                <w:color w:val="auto"/>
                <w:sz w:val="18"/>
                <w:szCs w:val="18"/>
              </w:rPr>
              <w:t>期末余额</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98" w:type="pct"/>
            <w:vMerge w:val="continue"/>
            <w:tcBorders>
              <w:top w:val="single" w:color="auto" w:sz="8" w:space="0"/>
              <w:bottom w:val="single" w:color="auto" w:sz="12" w:space="0"/>
              <w:right w:val="single" w:color="auto" w:sz="4" w:space="0"/>
            </w:tcBorders>
            <w:shd w:val="clear" w:color="auto" w:fill="auto"/>
            <w:vAlign w:val="center"/>
          </w:tcPr>
          <w:p>
            <w:pPr>
              <w:jc w:val="center"/>
              <w:rPr>
                <w:b/>
                <w:color w:val="auto"/>
                <w:sz w:val="18"/>
                <w:szCs w:val="18"/>
                <w:shd w:val="clear" w:color="auto" w:fill="FFFFFF"/>
              </w:rPr>
            </w:pPr>
          </w:p>
        </w:tc>
        <w:tc>
          <w:tcPr>
            <w:tcW w:w="862" w:type="pct"/>
            <w:vMerge w:val="continue"/>
            <w:tcBorders>
              <w:top w:val="single" w:color="auto" w:sz="8" w:space="0"/>
              <w:left w:val="single" w:color="auto" w:sz="4" w:space="0"/>
              <w:bottom w:val="single" w:color="auto" w:sz="12" w:space="0"/>
              <w:right w:val="single" w:color="auto" w:sz="4" w:space="0"/>
            </w:tcBorders>
            <w:shd w:val="clear" w:color="auto" w:fill="auto"/>
            <w:vAlign w:val="center"/>
          </w:tcPr>
          <w:p>
            <w:pPr>
              <w:jc w:val="center"/>
              <w:rPr>
                <w:b/>
                <w:color w:val="auto"/>
                <w:sz w:val="18"/>
                <w:szCs w:val="18"/>
                <w:shd w:val="clear" w:color="auto" w:fill="FFFFFF"/>
              </w:rPr>
            </w:pPr>
          </w:p>
        </w:tc>
        <w:tc>
          <w:tcPr>
            <w:tcW w:w="665" w:type="pct"/>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b/>
                <w:color w:val="auto"/>
                <w:sz w:val="18"/>
                <w:szCs w:val="18"/>
                <w:shd w:val="clear" w:color="auto" w:fill="FFFFFF"/>
              </w:rPr>
            </w:pPr>
            <w:r>
              <w:rPr>
                <w:rFonts w:hint="eastAsia"/>
                <w:b/>
                <w:color w:val="auto"/>
                <w:sz w:val="18"/>
                <w:szCs w:val="18"/>
                <w:shd w:val="clear" w:color="auto" w:fill="FFFFFF"/>
              </w:rPr>
              <w:t>计提</w:t>
            </w:r>
          </w:p>
        </w:tc>
        <w:tc>
          <w:tcPr>
            <w:tcW w:w="730" w:type="pct"/>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b/>
                <w:color w:val="auto"/>
                <w:sz w:val="18"/>
                <w:szCs w:val="18"/>
                <w:shd w:val="clear" w:color="auto" w:fill="FFFFFF"/>
              </w:rPr>
            </w:pPr>
            <w:r>
              <w:rPr>
                <w:rFonts w:hint="eastAsia"/>
                <w:b/>
                <w:color w:val="auto"/>
                <w:sz w:val="18"/>
                <w:szCs w:val="18"/>
                <w:shd w:val="clear" w:color="auto" w:fill="FFFFFF"/>
              </w:rPr>
              <w:t>收回或转回</w:t>
            </w:r>
          </w:p>
        </w:tc>
        <w:tc>
          <w:tcPr>
            <w:tcW w:w="823" w:type="pct"/>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b/>
                <w:color w:val="auto"/>
                <w:sz w:val="18"/>
                <w:szCs w:val="18"/>
                <w:shd w:val="clear" w:color="auto" w:fill="FFFFFF"/>
              </w:rPr>
            </w:pPr>
            <w:r>
              <w:rPr>
                <w:rFonts w:hint="eastAsia"/>
                <w:b/>
                <w:color w:val="auto"/>
                <w:sz w:val="18"/>
                <w:szCs w:val="18"/>
                <w:shd w:val="clear" w:color="auto" w:fill="FFFFFF"/>
              </w:rPr>
              <w:t>核销</w:t>
            </w:r>
          </w:p>
        </w:tc>
        <w:tc>
          <w:tcPr>
            <w:tcW w:w="822" w:type="pct"/>
            <w:vMerge w:val="continue"/>
            <w:tcBorders>
              <w:top w:val="single" w:color="auto" w:sz="8" w:space="0"/>
              <w:left w:val="single" w:color="auto" w:sz="4" w:space="0"/>
              <w:bottom w:val="single" w:color="auto" w:sz="12" w:space="0"/>
            </w:tcBorders>
            <w:vAlign w:val="center"/>
          </w:tcPr>
          <w:p>
            <w:pPr>
              <w:jc w:val="center"/>
              <w:rPr>
                <w:color w:val="auto"/>
                <w:sz w:val="18"/>
                <w:szCs w:val="18"/>
                <w:shd w:val="clear" w:color="auto" w:fill="FFFFFF"/>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98" w:type="pct"/>
            <w:tcBorders>
              <w:top w:val="single" w:color="auto" w:sz="12" w:space="0"/>
              <w:bottom w:val="single" w:color="auto" w:sz="4" w:space="0"/>
              <w:right w:val="single" w:color="auto" w:sz="4" w:space="0"/>
            </w:tcBorders>
            <w:vAlign w:val="bottom"/>
          </w:tcPr>
          <w:p>
            <w:pPr>
              <w:jc w:val="center"/>
              <w:rPr>
                <w:color w:val="auto"/>
                <w:sz w:val="18"/>
                <w:szCs w:val="18"/>
                <w:shd w:val="clear" w:color="auto" w:fill="FFFFFF"/>
              </w:rPr>
            </w:pPr>
            <w:r>
              <w:rPr>
                <w:rFonts w:hint="eastAsia"/>
                <w:color w:val="auto"/>
                <w:sz w:val="18"/>
                <w:szCs w:val="18"/>
              </w:rPr>
              <w:t>按单项计提坏账准备</w:t>
            </w:r>
          </w:p>
        </w:tc>
        <w:tc>
          <w:tcPr>
            <w:tcW w:w="862"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665"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730"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823"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822" w:type="pct"/>
            <w:tcBorders>
              <w:top w:val="single" w:color="auto" w:sz="12"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98" w:type="pct"/>
            <w:tcBorders>
              <w:top w:val="single" w:color="auto" w:sz="4" w:space="0"/>
              <w:bottom w:val="single" w:color="auto" w:sz="12" w:space="0"/>
              <w:right w:val="single" w:color="auto" w:sz="4" w:space="0"/>
            </w:tcBorders>
            <w:vAlign w:val="bottom"/>
          </w:tcPr>
          <w:p>
            <w:pPr>
              <w:jc w:val="center"/>
              <w:rPr>
                <w:color w:val="auto"/>
                <w:sz w:val="18"/>
                <w:szCs w:val="18"/>
                <w:shd w:val="clear" w:color="auto" w:fill="FFFFFF"/>
              </w:rPr>
            </w:pPr>
            <w:r>
              <w:rPr>
                <w:rFonts w:hint="eastAsia"/>
                <w:color w:val="auto"/>
                <w:sz w:val="18"/>
                <w:szCs w:val="18"/>
              </w:rPr>
              <w:t>按组合计提坏账准备</w:t>
            </w:r>
          </w:p>
        </w:tc>
        <w:tc>
          <w:tcPr>
            <w:tcW w:w="862" w:type="pct"/>
            <w:tcBorders>
              <w:top w:val="single" w:color="auto" w:sz="4"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470,904.59 </w:t>
            </w:r>
          </w:p>
        </w:tc>
        <w:tc>
          <w:tcPr>
            <w:tcW w:w="665" w:type="pct"/>
            <w:tcBorders>
              <w:top w:val="single" w:color="auto" w:sz="4"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30" w:type="pct"/>
            <w:tcBorders>
              <w:top w:val="single" w:color="auto" w:sz="4"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olor w:val="auto"/>
                <w:sz w:val="18"/>
                <w:szCs w:val="18"/>
              </w:rPr>
              <w:t>116,765.75</w:t>
            </w:r>
          </w:p>
        </w:tc>
        <w:tc>
          <w:tcPr>
            <w:tcW w:w="823" w:type="pct"/>
            <w:tcBorders>
              <w:top w:val="single" w:color="auto" w:sz="4"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822" w:type="pct"/>
            <w:tcBorders>
              <w:top w:val="single" w:color="auto" w:sz="4" w:space="0"/>
              <w:left w:val="single" w:color="auto" w:sz="4" w:space="0"/>
              <w:bottom w:val="single" w:color="auto" w:sz="12"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354,138.84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98" w:type="pct"/>
            <w:tcBorders>
              <w:top w:val="single" w:color="auto" w:sz="12" w:space="0"/>
              <w:bottom w:val="single" w:color="auto" w:sz="12" w:space="0"/>
              <w:right w:val="single" w:color="auto" w:sz="4" w:space="0"/>
            </w:tcBorders>
            <w:shd w:val="clear" w:color="auto" w:fill="auto"/>
            <w:vAlign w:val="bottom"/>
          </w:tcPr>
          <w:p>
            <w:pPr>
              <w:jc w:val="center"/>
              <w:rPr>
                <w:rFonts w:ascii="宋体"/>
                <w:b/>
                <w:bCs/>
                <w:color w:val="auto"/>
                <w:sz w:val="18"/>
                <w:szCs w:val="18"/>
              </w:rPr>
            </w:pPr>
            <w:r>
              <w:rPr>
                <w:rFonts w:hint="eastAsia" w:ascii="宋体"/>
                <w:b/>
                <w:bCs/>
                <w:color w:val="auto"/>
                <w:sz w:val="18"/>
                <w:szCs w:val="18"/>
              </w:rPr>
              <w:t>合计</w:t>
            </w:r>
          </w:p>
        </w:tc>
        <w:tc>
          <w:tcPr>
            <w:tcW w:w="862" w:type="pct"/>
            <w:tcBorders>
              <w:top w:val="single" w:color="auto" w:sz="12" w:space="0"/>
              <w:left w:val="single" w:color="auto" w:sz="4" w:space="0"/>
              <w:bottom w:val="single" w:color="auto" w:sz="12" w:space="0"/>
              <w:right w:val="single" w:color="auto" w:sz="4" w:space="0"/>
            </w:tcBorders>
            <w:shd w:val="clear" w:color="auto" w:fill="auto"/>
            <w:vAlign w:val="bottom"/>
          </w:tcPr>
          <w:p>
            <w:pPr>
              <w:jc w:val="right"/>
              <w:rPr>
                <w:rFonts w:cs="宋体" w:asciiTheme="minorEastAsia" w:hAnsiTheme="minorEastAsia" w:eastAsiaTheme="minorEastAsia"/>
                <w:b/>
                <w:color w:val="auto"/>
                <w:sz w:val="18"/>
                <w:szCs w:val="18"/>
              </w:rPr>
            </w:pPr>
            <w:r>
              <w:rPr>
                <w:rFonts w:ascii="宋体" w:hAnsi="宋体" w:cs="宋体"/>
                <w:b/>
                <w:color w:val="auto"/>
                <w:kern w:val="0"/>
                <w:sz w:val="18"/>
                <w:szCs w:val="18"/>
              </w:rPr>
              <w:t xml:space="preserve">470,904.59 </w:t>
            </w:r>
          </w:p>
        </w:tc>
        <w:tc>
          <w:tcPr>
            <w:tcW w:w="665" w:type="pct"/>
            <w:tcBorders>
              <w:top w:val="single" w:color="auto" w:sz="12" w:space="0"/>
              <w:left w:val="single" w:color="auto" w:sz="4" w:space="0"/>
              <w:bottom w:val="single" w:color="auto" w:sz="12" w:space="0"/>
              <w:right w:val="single" w:color="auto" w:sz="4" w:space="0"/>
            </w:tcBorders>
            <w:shd w:val="clear" w:color="auto" w:fill="auto"/>
            <w:vAlign w:val="bottom"/>
          </w:tcPr>
          <w:p>
            <w:pPr>
              <w:autoSpaceDE w:val="0"/>
              <w:autoSpaceDN w:val="0"/>
              <w:adjustRightInd w:val="0"/>
              <w:jc w:val="right"/>
              <w:rPr>
                <w:rFonts w:ascii="宋体" w:hAnsi="宋体" w:cs="宋体"/>
                <w:b/>
                <w:color w:val="auto"/>
                <w:kern w:val="0"/>
                <w:sz w:val="18"/>
                <w:szCs w:val="18"/>
              </w:rPr>
            </w:pPr>
          </w:p>
        </w:tc>
        <w:tc>
          <w:tcPr>
            <w:tcW w:w="730" w:type="pct"/>
            <w:tcBorders>
              <w:top w:val="single" w:color="auto" w:sz="12" w:space="0"/>
              <w:left w:val="single" w:color="auto" w:sz="4" w:space="0"/>
              <w:bottom w:val="single" w:color="auto" w:sz="12" w:space="0"/>
              <w:right w:val="single" w:color="auto" w:sz="4" w:space="0"/>
            </w:tcBorders>
            <w:shd w:val="clear" w:color="auto" w:fill="auto"/>
            <w:vAlign w:val="bottom"/>
          </w:tcPr>
          <w:p>
            <w:pPr>
              <w:jc w:val="right"/>
              <w:rPr>
                <w:rFonts w:cs="宋体" w:asciiTheme="minorEastAsia" w:hAnsiTheme="minorEastAsia" w:eastAsiaTheme="minorEastAsia"/>
                <w:b/>
                <w:bCs/>
                <w:color w:val="auto"/>
                <w:sz w:val="18"/>
                <w:szCs w:val="18"/>
              </w:rPr>
            </w:pPr>
            <w:r>
              <w:rPr>
                <w:rFonts w:ascii="宋体" w:hAnsi="宋体"/>
                <w:b/>
                <w:bCs/>
                <w:color w:val="auto"/>
                <w:sz w:val="18"/>
                <w:szCs w:val="18"/>
              </w:rPr>
              <w:t>116,765.75</w:t>
            </w:r>
          </w:p>
        </w:tc>
        <w:tc>
          <w:tcPr>
            <w:tcW w:w="823" w:type="pct"/>
            <w:tcBorders>
              <w:top w:val="single" w:color="auto" w:sz="12" w:space="0"/>
              <w:left w:val="single" w:color="auto" w:sz="4" w:space="0"/>
              <w:bottom w:val="single" w:color="auto" w:sz="12" w:space="0"/>
              <w:right w:val="single" w:color="auto" w:sz="4" w:space="0"/>
            </w:tcBorders>
            <w:shd w:val="clear" w:color="auto" w:fill="auto"/>
            <w:vAlign w:val="bottom"/>
          </w:tcPr>
          <w:p>
            <w:pPr>
              <w:jc w:val="right"/>
              <w:rPr>
                <w:rFonts w:cs="宋体" w:asciiTheme="minorEastAsia" w:hAnsiTheme="minorEastAsia" w:eastAsiaTheme="minorEastAsia"/>
                <w:b/>
                <w:bCs/>
                <w:color w:val="auto"/>
                <w:sz w:val="18"/>
                <w:szCs w:val="18"/>
              </w:rPr>
            </w:pPr>
          </w:p>
        </w:tc>
        <w:tc>
          <w:tcPr>
            <w:tcW w:w="822" w:type="pct"/>
            <w:tcBorders>
              <w:top w:val="single" w:color="auto" w:sz="12" w:space="0"/>
              <w:left w:val="single" w:color="auto" w:sz="4" w:space="0"/>
              <w:bottom w:val="single" w:color="auto" w:sz="12" w:space="0"/>
            </w:tcBorders>
            <w:shd w:val="clear" w:color="auto" w:fill="auto"/>
            <w:vAlign w:val="bottom"/>
          </w:tcPr>
          <w:p>
            <w:pPr>
              <w:autoSpaceDE w:val="0"/>
              <w:autoSpaceDN w:val="0"/>
              <w:adjustRightInd w:val="0"/>
              <w:jc w:val="right"/>
              <w:rPr>
                <w:rFonts w:ascii="宋体" w:hAnsi="宋体" w:cs="宋体"/>
                <w:b/>
                <w:bCs/>
                <w:color w:val="auto"/>
                <w:kern w:val="0"/>
                <w:sz w:val="18"/>
                <w:szCs w:val="18"/>
              </w:rPr>
            </w:pPr>
            <w:r>
              <w:rPr>
                <w:rFonts w:ascii="宋体" w:hAnsi="宋体"/>
                <w:b/>
                <w:bCs/>
                <w:color w:val="auto"/>
                <w:sz w:val="18"/>
                <w:szCs w:val="18"/>
              </w:rPr>
              <w:t>354,138.84</w:t>
            </w:r>
          </w:p>
        </w:tc>
      </w:tr>
    </w:tbl>
    <w:p>
      <w:pPr>
        <w:tabs>
          <w:tab w:val="left" w:pos="2398"/>
        </w:tabs>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⑤本期无实际核销的其他应收款情况。</w:t>
      </w:r>
    </w:p>
    <w:p>
      <w:pPr>
        <w:tabs>
          <w:tab w:val="left" w:pos="2398"/>
        </w:tabs>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⑥按欠款方归集的期末余额前五名的其他应收款情况：</w:t>
      </w:r>
    </w:p>
    <w:tbl>
      <w:tblPr>
        <w:tblStyle w:val="9"/>
        <w:tblW w:w="5000" w:type="pct"/>
        <w:tblCaption w:val="&quot;\\lisheng\共享\1、伟隆2022年度审计\1、2022年度审计\1、附注及报告\2022年\附注计算-伟隆 - 2022.xlsx&quot; &quot;2022附注格式!_ReportTable_0030&quot;"/>
        <w:tblDescription w:val="A166:F172"/>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424"/>
        <w:gridCol w:w="1383"/>
        <w:gridCol w:w="1673"/>
        <w:gridCol w:w="1247"/>
        <w:gridCol w:w="1381"/>
        <w:gridCol w:w="17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pct"/>
            <w:tcBorders>
              <w:top w:val="single" w:color="auto" w:sz="12" w:space="0"/>
              <w:bottom w:val="single" w:color="auto" w:sz="12" w:space="0"/>
            </w:tcBorders>
            <w:vAlign w:val="center"/>
          </w:tcPr>
          <w:p>
            <w:pPr>
              <w:spacing w:line="360" w:lineRule="auto"/>
              <w:jc w:val="center"/>
              <w:rPr>
                <w:b/>
                <w:color w:val="auto"/>
                <w:kern w:val="0"/>
                <w:sz w:val="18"/>
                <w:szCs w:val="18"/>
              </w:rPr>
            </w:pPr>
            <w:r>
              <w:rPr>
                <w:rFonts w:hint="eastAsia"/>
                <w:b/>
                <w:color w:val="auto"/>
                <w:sz w:val="18"/>
                <w:szCs w:val="18"/>
              </w:rPr>
              <w:t>单位名称</w:t>
            </w:r>
          </w:p>
        </w:tc>
        <w:tc>
          <w:tcPr>
            <w:tcW w:w="702" w:type="pct"/>
            <w:tcBorders>
              <w:top w:val="single" w:color="auto" w:sz="12" w:space="0"/>
              <w:bottom w:val="single" w:color="auto" w:sz="12" w:space="0"/>
            </w:tcBorders>
            <w:vAlign w:val="center"/>
          </w:tcPr>
          <w:p>
            <w:pPr>
              <w:spacing w:line="360" w:lineRule="auto"/>
              <w:jc w:val="center"/>
              <w:rPr>
                <w:b/>
                <w:color w:val="auto"/>
                <w:kern w:val="0"/>
                <w:sz w:val="18"/>
                <w:szCs w:val="18"/>
              </w:rPr>
            </w:pPr>
            <w:r>
              <w:rPr>
                <w:rFonts w:hint="eastAsia"/>
                <w:b/>
                <w:color w:val="auto"/>
                <w:sz w:val="18"/>
                <w:szCs w:val="18"/>
              </w:rPr>
              <w:t>款项性质</w:t>
            </w:r>
          </w:p>
        </w:tc>
        <w:tc>
          <w:tcPr>
            <w:tcW w:w="849" w:type="pct"/>
            <w:tcBorders>
              <w:top w:val="single" w:color="auto" w:sz="12" w:space="0"/>
              <w:bottom w:val="single" w:color="auto" w:sz="12" w:space="0"/>
            </w:tcBorders>
            <w:vAlign w:val="center"/>
          </w:tcPr>
          <w:p>
            <w:pPr>
              <w:spacing w:line="360" w:lineRule="auto"/>
              <w:jc w:val="center"/>
              <w:rPr>
                <w:b/>
                <w:color w:val="auto"/>
                <w:kern w:val="0"/>
                <w:sz w:val="18"/>
                <w:szCs w:val="18"/>
              </w:rPr>
            </w:pPr>
            <w:r>
              <w:rPr>
                <w:rFonts w:hint="eastAsia"/>
                <w:b/>
                <w:color w:val="auto"/>
                <w:sz w:val="18"/>
                <w:szCs w:val="18"/>
              </w:rPr>
              <w:t>期末余额</w:t>
            </w:r>
          </w:p>
        </w:tc>
        <w:tc>
          <w:tcPr>
            <w:tcW w:w="633" w:type="pct"/>
            <w:tcBorders>
              <w:top w:val="single" w:color="auto" w:sz="12" w:space="0"/>
              <w:bottom w:val="single" w:color="auto" w:sz="12" w:space="0"/>
            </w:tcBorders>
            <w:vAlign w:val="center"/>
          </w:tcPr>
          <w:p>
            <w:pPr>
              <w:spacing w:line="360" w:lineRule="auto"/>
              <w:jc w:val="center"/>
              <w:rPr>
                <w:b/>
                <w:color w:val="auto"/>
                <w:kern w:val="0"/>
                <w:sz w:val="18"/>
                <w:szCs w:val="18"/>
              </w:rPr>
            </w:pPr>
            <w:r>
              <w:rPr>
                <w:rFonts w:hint="eastAsia"/>
                <w:b/>
                <w:color w:val="auto"/>
                <w:sz w:val="18"/>
                <w:szCs w:val="18"/>
              </w:rPr>
              <w:t>账龄</w:t>
            </w:r>
          </w:p>
        </w:tc>
        <w:tc>
          <w:tcPr>
            <w:tcW w:w="701" w:type="pct"/>
            <w:tcBorders>
              <w:top w:val="single" w:color="auto" w:sz="12" w:space="0"/>
              <w:bottom w:val="single" w:color="auto" w:sz="12" w:space="0"/>
            </w:tcBorders>
            <w:vAlign w:val="center"/>
          </w:tcPr>
          <w:p>
            <w:pPr>
              <w:jc w:val="center"/>
              <w:rPr>
                <w:b/>
                <w:color w:val="auto"/>
                <w:kern w:val="0"/>
                <w:sz w:val="18"/>
                <w:szCs w:val="18"/>
              </w:rPr>
            </w:pPr>
            <w:r>
              <w:rPr>
                <w:rFonts w:hint="eastAsia"/>
                <w:b/>
                <w:color w:val="auto"/>
                <w:sz w:val="18"/>
                <w:szCs w:val="18"/>
              </w:rPr>
              <w:t>占其他应收款期末余额合计数的比例（%）</w:t>
            </w:r>
          </w:p>
        </w:tc>
        <w:tc>
          <w:tcPr>
            <w:tcW w:w="885" w:type="pct"/>
            <w:tcBorders>
              <w:top w:val="single" w:color="auto" w:sz="12" w:space="0"/>
              <w:bottom w:val="single" w:color="auto" w:sz="12" w:space="0"/>
            </w:tcBorders>
            <w:vAlign w:val="center"/>
          </w:tcPr>
          <w:p>
            <w:pPr>
              <w:jc w:val="center"/>
              <w:rPr>
                <w:b/>
                <w:color w:val="auto"/>
                <w:sz w:val="18"/>
                <w:szCs w:val="18"/>
              </w:rPr>
            </w:pPr>
            <w:r>
              <w:rPr>
                <w:rFonts w:hint="eastAsia"/>
                <w:b/>
                <w:color w:val="auto"/>
                <w:sz w:val="18"/>
                <w:szCs w:val="18"/>
              </w:rPr>
              <w:t>坏账准备期末余额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0" w:type="pct"/>
            <w:tcBorders>
              <w:top w:val="single" w:color="auto" w:sz="12" w:space="0"/>
            </w:tcBorders>
            <w:vAlign w:val="bottom"/>
          </w:tcPr>
          <w:p>
            <w:pPr>
              <w:autoSpaceDE w:val="0"/>
              <w:autoSpaceDN w:val="0"/>
              <w:adjustRightInd w:val="0"/>
              <w:rPr>
                <w:rFonts w:ascii="宋体" w:hAnsi="宋体" w:cs="宋体"/>
                <w:color w:val="auto"/>
                <w:kern w:val="0"/>
                <w:sz w:val="18"/>
                <w:szCs w:val="18"/>
              </w:rPr>
            </w:pPr>
            <w:r>
              <w:rPr>
                <w:rFonts w:hint="eastAsia" w:ascii="宋体" w:hAnsi="宋体" w:cs="宋体"/>
                <w:color w:val="auto"/>
                <w:kern w:val="0"/>
                <w:sz w:val="18"/>
                <w:szCs w:val="18"/>
              </w:rPr>
              <w:t>应收出口退税款</w:t>
            </w:r>
          </w:p>
        </w:tc>
        <w:tc>
          <w:tcPr>
            <w:tcW w:w="702" w:type="pct"/>
            <w:tcBorders>
              <w:top w:val="single" w:color="auto" w:sz="12" w:space="0"/>
            </w:tcBorders>
            <w:vAlign w:val="bottom"/>
          </w:tcPr>
          <w:p>
            <w:pPr>
              <w:autoSpaceDE w:val="0"/>
              <w:autoSpaceDN w:val="0"/>
              <w:adjustRightInd w:val="0"/>
              <w:jc w:val="center"/>
              <w:rPr>
                <w:rFonts w:ascii="宋体" w:hAnsi="宋体" w:cs="宋体"/>
                <w:color w:val="auto"/>
                <w:kern w:val="0"/>
                <w:sz w:val="18"/>
                <w:szCs w:val="18"/>
              </w:rPr>
            </w:pPr>
            <w:r>
              <w:rPr>
                <w:rFonts w:hint="eastAsia" w:ascii="宋体" w:hAnsi="宋体" w:cs="宋体"/>
                <w:color w:val="auto"/>
                <w:kern w:val="0"/>
                <w:sz w:val="18"/>
                <w:szCs w:val="18"/>
              </w:rPr>
              <w:t>出口退税</w:t>
            </w:r>
          </w:p>
        </w:tc>
        <w:tc>
          <w:tcPr>
            <w:tcW w:w="849" w:type="pct"/>
            <w:tcBorders>
              <w:top w:val="single" w:color="auto" w:sz="12"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3,476,672.26</w:t>
            </w:r>
          </w:p>
        </w:tc>
        <w:tc>
          <w:tcPr>
            <w:tcW w:w="633" w:type="pct"/>
            <w:tcBorders>
              <w:top w:val="single" w:color="auto" w:sz="12" w:space="0"/>
            </w:tcBorders>
            <w:vAlign w:val="bottom"/>
          </w:tcPr>
          <w:p>
            <w:pPr>
              <w:autoSpaceDE w:val="0"/>
              <w:autoSpaceDN w:val="0"/>
              <w:adjustRightInd w:val="0"/>
              <w:jc w:val="center"/>
              <w:rPr>
                <w:rFonts w:ascii="宋体" w:hAnsi="宋体" w:cs="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年以内</w:t>
            </w:r>
          </w:p>
        </w:tc>
        <w:tc>
          <w:tcPr>
            <w:tcW w:w="701" w:type="pct"/>
            <w:tcBorders>
              <w:top w:val="single" w:color="auto" w:sz="12"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62.07</w:t>
            </w:r>
          </w:p>
        </w:tc>
        <w:tc>
          <w:tcPr>
            <w:tcW w:w="885" w:type="pct"/>
            <w:tcBorders>
              <w:top w:val="single" w:color="auto" w:sz="12"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173,833.6</w:t>
            </w:r>
            <w:r>
              <w:rPr>
                <w:rFonts w:hint="eastAsia" w:ascii="宋体" w:hAnsi="宋体" w:cs="宋体"/>
                <w:color w:val="auto"/>
                <w:kern w:val="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0" w:type="pct"/>
            <w:vAlign w:val="bottom"/>
          </w:tcPr>
          <w:p>
            <w:pPr>
              <w:autoSpaceDE w:val="0"/>
              <w:autoSpaceDN w:val="0"/>
              <w:adjustRightInd w:val="0"/>
              <w:rPr>
                <w:rFonts w:ascii="宋体" w:hAnsi="宋体"/>
                <w:color w:val="auto"/>
                <w:kern w:val="0"/>
                <w:sz w:val="18"/>
                <w:szCs w:val="18"/>
              </w:rPr>
            </w:pPr>
            <w:r>
              <w:rPr>
                <w:rFonts w:hint="eastAsia"/>
                <w:color w:val="auto"/>
                <w:sz w:val="18"/>
                <w:szCs w:val="18"/>
              </w:rPr>
              <w:t>残疾人即征即退增值税</w:t>
            </w:r>
          </w:p>
        </w:tc>
        <w:tc>
          <w:tcPr>
            <w:tcW w:w="702" w:type="pct"/>
            <w:vAlign w:val="bottom"/>
          </w:tcPr>
          <w:p>
            <w:pPr>
              <w:autoSpaceDE w:val="0"/>
              <w:autoSpaceDN w:val="0"/>
              <w:adjustRightInd w:val="0"/>
              <w:jc w:val="center"/>
              <w:rPr>
                <w:rFonts w:ascii="宋体" w:hAnsi="宋体" w:cs="宋体"/>
                <w:color w:val="auto"/>
                <w:kern w:val="0"/>
                <w:sz w:val="18"/>
                <w:szCs w:val="18"/>
              </w:rPr>
            </w:pPr>
            <w:r>
              <w:rPr>
                <w:rFonts w:hint="eastAsia" w:ascii="宋体" w:hAnsi="宋体" w:cs="宋体"/>
                <w:color w:val="auto"/>
                <w:kern w:val="0"/>
                <w:sz w:val="18"/>
                <w:szCs w:val="18"/>
              </w:rPr>
              <w:t>残疾人即征即退增值税</w:t>
            </w:r>
          </w:p>
        </w:tc>
        <w:tc>
          <w:tcPr>
            <w:tcW w:w="849" w:type="pct"/>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1,515,465.08</w:t>
            </w:r>
          </w:p>
        </w:tc>
        <w:tc>
          <w:tcPr>
            <w:tcW w:w="633" w:type="pct"/>
            <w:vAlign w:val="bottom"/>
          </w:tcPr>
          <w:p>
            <w:pPr>
              <w:autoSpaceDE w:val="0"/>
              <w:autoSpaceDN w:val="0"/>
              <w:adjustRightInd w:val="0"/>
              <w:jc w:val="center"/>
              <w:rPr>
                <w:rFonts w:ascii="宋体" w:hAnsi="宋体" w:cs="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年以内、</w:t>
            </w:r>
            <w:r>
              <w:rPr>
                <w:rFonts w:ascii="宋体" w:hAnsi="宋体" w:cs="宋体"/>
                <w:color w:val="auto"/>
                <w:kern w:val="0"/>
                <w:sz w:val="18"/>
                <w:szCs w:val="18"/>
              </w:rPr>
              <w:t>1-2</w:t>
            </w:r>
            <w:r>
              <w:rPr>
                <w:rFonts w:hint="eastAsia" w:ascii="宋体" w:hAnsi="宋体" w:cs="宋体"/>
                <w:color w:val="auto"/>
                <w:kern w:val="0"/>
                <w:sz w:val="18"/>
                <w:szCs w:val="18"/>
              </w:rPr>
              <w:t>年</w:t>
            </w:r>
          </w:p>
        </w:tc>
        <w:tc>
          <w:tcPr>
            <w:tcW w:w="701" w:type="pct"/>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27.06</w:t>
            </w:r>
          </w:p>
        </w:tc>
        <w:tc>
          <w:tcPr>
            <w:tcW w:w="885" w:type="pct"/>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102,140.60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0" w:type="pct"/>
            <w:vAlign w:val="bottom"/>
          </w:tcPr>
          <w:p>
            <w:pPr>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客户一</w:t>
            </w:r>
          </w:p>
        </w:tc>
        <w:tc>
          <w:tcPr>
            <w:tcW w:w="702" w:type="pct"/>
            <w:vAlign w:val="bottom"/>
          </w:tcPr>
          <w:p>
            <w:pPr>
              <w:autoSpaceDE w:val="0"/>
              <w:autoSpaceDN w:val="0"/>
              <w:adjustRightInd w:val="0"/>
              <w:jc w:val="center"/>
              <w:rPr>
                <w:rFonts w:ascii="宋体" w:hAnsi="宋体" w:cs="宋体"/>
                <w:color w:val="auto"/>
                <w:kern w:val="0"/>
                <w:sz w:val="18"/>
                <w:szCs w:val="18"/>
              </w:rPr>
            </w:pPr>
            <w:r>
              <w:rPr>
                <w:rFonts w:hint="eastAsia" w:ascii="宋体" w:hAnsi="宋体" w:cs="宋体"/>
                <w:color w:val="auto"/>
                <w:kern w:val="0"/>
                <w:sz w:val="18"/>
                <w:szCs w:val="18"/>
              </w:rPr>
              <w:t>保证金</w:t>
            </w:r>
          </w:p>
        </w:tc>
        <w:tc>
          <w:tcPr>
            <w:tcW w:w="849" w:type="pct"/>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273,000.00</w:t>
            </w:r>
          </w:p>
        </w:tc>
        <w:tc>
          <w:tcPr>
            <w:tcW w:w="633" w:type="pct"/>
            <w:vAlign w:val="bottom"/>
          </w:tcPr>
          <w:p>
            <w:pPr>
              <w:autoSpaceDE w:val="0"/>
              <w:autoSpaceDN w:val="0"/>
              <w:adjustRightInd w:val="0"/>
              <w:jc w:val="center"/>
              <w:rPr>
                <w:rFonts w:ascii="宋体" w:hAnsi="宋体" w:cs="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年以内</w:t>
            </w:r>
          </w:p>
        </w:tc>
        <w:tc>
          <w:tcPr>
            <w:tcW w:w="701" w:type="pct"/>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4.87</w:t>
            </w:r>
          </w:p>
        </w:tc>
        <w:tc>
          <w:tcPr>
            <w:tcW w:w="885" w:type="pct"/>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13,650.00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0" w:type="pct"/>
            <w:vAlign w:val="bottom"/>
          </w:tcPr>
          <w:p>
            <w:pPr>
              <w:rPr>
                <w:color w:val="auto"/>
              </w:rPr>
            </w:pPr>
            <w:r>
              <w:rPr>
                <w:rFonts w:cs="宋体" w:asciiTheme="majorEastAsia" w:hAnsiTheme="majorEastAsia" w:eastAsiaTheme="majorEastAsia"/>
                <w:color w:val="auto"/>
                <w:sz w:val="18"/>
                <w:szCs w:val="18"/>
              </w:rPr>
              <w:t>客户二</w:t>
            </w:r>
          </w:p>
        </w:tc>
        <w:tc>
          <w:tcPr>
            <w:tcW w:w="702" w:type="pct"/>
            <w:vAlign w:val="bottom"/>
          </w:tcPr>
          <w:p>
            <w:pPr>
              <w:autoSpaceDE w:val="0"/>
              <w:autoSpaceDN w:val="0"/>
              <w:adjustRightInd w:val="0"/>
              <w:jc w:val="center"/>
              <w:rPr>
                <w:rFonts w:ascii="宋体" w:hAnsi="宋体" w:cs="宋体"/>
                <w:color w:val="auto"/>
                <w:kern w:val="0"/>
                <w:sz w:val="18"/>
                <w:szCs w:val="18"/>
              </w:rPr>
            </w:pPr>
            <w:r>
              <w:rPr>
                <w:rFonts w:hint="eastAsia" w:ascii="宋体" w:hAnsi="宋体" w:cs="宋体"/>
                <w:color w:val="auto"/>
                <w:kern w:val="0"/>
                <w:sz w:val="18"/>
                <w:szCs w:val="18"/>
              </w:rPr>
              <w:t>保证金</w:t>
            </w:r>
          </w:p>
        </w:tc>
        <w:tc>
          <w:tcPr>
            <w:tcW w:w="849" w:type="pct"/>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50,000.00</w:t>
            </w:r>
          </w:p>
        </w:tc>
        <w:tc>
          <w:tcPr>
            <w:tcW w:w="633" w:type="pct"/>
            <w:vAlign w:val="bottom"/>
          </w:tcPr>
          <w:p>
            <w:pPr>
              <w:autoSpaceDE w:val="0"/>
              <w:autoSpaceDN w:val="0"/>
              <w:adjustRightInd w:val="0"/>
              <w:jc w:val="center"/>
              <w:rPr>
                <w:rFonts w:ascii="宋体" w:hAnsi="宋体" w:cs="宋体"/>
                <w:color w:val="auto"/>
                <w:kern w:val="0"/>
                <w:sz w:val="18"/>
                <w:szCs w:val="18"/>
              </w:rPr>
            </w:pPr>
            <w:r>
              <w:rPr>
                <w:rFonts w:ascii="宋体" w:hAnsi="宋体" w:cs="宋体"/>
                <w:color w:val="auto"/>
                <w:kern w:val="0"/>
                <w:sz w:val="18"/>
                <w:szCs w:val="18"/>
              </w:rPr>
              <w:t>5年以上</w:t>
            </w:r>
          </w:p>
        </w:tc>
        <w:tc>
          <w:tcPr>
            <w:tcW w:w="701" w:type="pct"/>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0.89</w:t>
            </w:r>
          </w:p>
        </w:tc>
        <w:tc>
          <w:tcPr>
            <w:tcW w:w="885" w:type="pct"/>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50,000.00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0" w:type="pct"/>
            <w:vAlign w:val="bottom"/>
          </w:tcPr>
          <w:p>
            <w:pPr>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客户三</w:t>
            </w:r>
          </w:p>
        </w:tc>
        <w:tc>
          <w:tcPr>
            <w:tcW w:w="702" w:type="pct"/>
            <w:vAlign w:val="bottom"/>
          </w:tcPr>
          <w:p>
            <w:pPr>
              <w:autoSpaceDE w:val="0"/>
              <w:autoSpaceDN w:val="0"/>
              <w:adjustRightInd w:val="0"/>
              <w:jc w:val="center"/>
              <w:rPr>
                <w:rFonts w:ascii="宋体" w:hAnsi="宋体" w:cs="宋体"/>
                <w:color w:val="auto"/>
                <w:kern w:val="0"/>
                <w:sz w:val="18"/>
                <w:szCs w:val="18"/>
              </w:rPr>
            </w:pPr>
            <w:r>
              <w:rPr>
                <w:rFonts w:hint="eastAsia" w:ascii="宋体" w:hAnsi="宋体" w:cs="宋体"/>
                <w:color w:val="auto"/>
                <w:kern w:val="0"/>
                <w:sz w:val="18"/>
                <w:szCs w:val="18"/>
              </w:rPr>
              <w:t>保证金</w:t>
            </w:r>
          </w:p>
        </w:tc>
        <w:tc>
          <w:tcPr>
            <w:tcW w:w="849" w:type="pct"/>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47,044.82</w:t>
            </w:r>
          </w:p>
        </w:tc>
        <w:tc>
          <w:tcPr>
            <w:tcW w:w="633" w:type="pct"/>
            <w:vAlign w:val="bottom"/>
          </w:tcPr>
          <w:p>
            <w:pPr>
              <w:autoSpaceDE w:val="0"/>
              <w:autoSpaceDN w:val="0"/>
              <w:adjustRightInd w:val="0"/>
              <w:jc w:val="center"/>
              <w:rPr>
                <w:rFonts w:ascii="宋体" w:hAnsi="宋体" w:cs="宋体"/>
                <w:color w:val="auto"/>
                <w:kern w:val="0"/>
                <w:sz w:val="18"/>
                <w:szCs w:val="18"/>
              </w:rPr>
            </w:pPr>
            <w:r>
              <w:rPr>
                <w:rFonts w:ascii="宋体" w:hAnsi="宋体" w:cs="宋体"/>
                <w:color w:val="auto"/>
                <w:kern w:val="0"/>
                <w:sz w:val="18"/>
                <w:szCs w:val="18"/>
              </w:rPr>
              <w:t>1年以内</w:t>
            </w:r>
          </w:p>
        </w:tc>
        <w:tc>
          <w:tcPr>
            <w:tcW w:w="701" w:type="pct"/>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0.84</w:t>
            </w:r>
          </w:p>
        </w:tc>
        <w:tc>
          <w:tcPr>
            <w:tcW w:w="885" w:type="pct"/>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2,352.24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0" w:type="pct"/>
            <w:tcBorders>
              <w:top w:val="single" w:color="auto" w:sz="12" w:space="0"/>
              <w:bottom w:val="single" w:color="auto" w:sz="12" w:space="0"/>
            </w:tcBorders>
            <w:vAlign w:val="bottom"/>
          </w:tcPr>
          <w:p>
            <w:pPr>
              <w:jc w:val="center"/>
              <w:rPr>
                <w:rFonts w:ascii="宋体" w:hAnsi="宋体" w:cs="宋体"/>
                <w:b/>
                <w:bCs/>
                <w:color w:val="auto"/>
                <w:sz w:val="18"/>
                <w:szCs w:val="18"/>
              </w:rPr>
            </w:pPr>
            <w:r>
              <w:rPr>
                <w:rFonts w:hint="eastAsia"/>
                <w:b/>
                <w:bCs/>
                <w:color w:val="auto"/>
                <w:sz w:val="18"/>
                <w:szCs w:val="18"/>
              </w:rPr>
              <w:t>合计</w:t>
            </w:r>
          </w:p>
        </w:tc>
        <w:tc>
          <w:tcPr>
            <w:tcW w:w="702" w:type="pct"/>
            <w:tcBorders>
              <w:top w:val="single" w:color="auto" w:sz="12" w:space="0"/>
              <w:bottom w:val="single" w:color="auto" w:sz="12" w:space="0"/>
            </w:tcBorders>
            <w:vAlign w:val="bottom"/>
          </w:tcPr>
          <w:p>
            <w:pPr>
              <w:jc w:val="center"/>
              <w:rPr>
                <w:rFonts w:cs="宋体" w:asciiTheme="majorEastAsia" w:hAnsiTheme="majorEastAsia" w:eastAsiaTheme="majorEastAsia"/>
                <w:color w:val="auto"/>
                <w:sz w:val="18"/>
                <w:szCs w:val="18"/>
              </w:rPr>
            </w:pPr>
          </w:p>
        </w:tc>
        <w:tc>
          <w:tcPr>
            <w:tcW w:w="849" w:type="pct"/>
            <w:tcBorders>
              <w:top w:val="single" w:color="auto" w:sz="12" w:space="0"/>
              <w:bottom w:val="single" w:color="auto" w:sz="12"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 xml:space="preserve">5,362,182.16 </w:t>
            </w:r>
          </w:p>
        </w:tc>
        <w:tc>
          <w:tcPr>
            <w:tcW w:w="633" w:type="pct"/>
            <w:tcBorders>
              <w:top w:val="single" w:color="auto" w:sz="12" w:space="0"/>
              <w:bottom w:val="single" w:color="auto" w:sz="12" w:space="0"/>
            </w:tcBorders>
            <w:vAlign w:val="bottom"/>
          </w:tcPr>
          <w:p>
            <w:pPr>
              <w:autoSpaceDE w:val="0"/>
              <w:autoSpaceDN w:val="0"/>
              <w:adjustRightInd w:val="0"/>
              <w:jc w:val="right"/>
              <w:rPr>
                <w:rFonts w:ascii="宋体" w:hAnsi="宋体" w:cs="宋体"/>
                <w:b/>
                <w:bCs/>
                <w:color w:val="auto"/>
                <w:kern w:val="0"/>
                <w:sz w:val="18"/>
                <w:szCs w:val="18"/>
              </w:rPr>
            </w:pPr>
          </w:p>
        </w:tc>
        <w:tc>
          <w:tcPr>
            <w:tcW w:w="701" w:type="pct"/>
            <w:tcBorders>
              <w:top w:val="single" w:color="auto" w:sz="12" w:space="0"/>
              <w:bottom w:val="single" w:color="auto" w:sz="12"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 xml:space="preserve">95.73 </w:t>
            </w:r>
          </w:p>
        </w:tc>
        <w:tc>
          <w:tcPr>
            <w:tcW w:w="885" w:type="pct"/>
            <w:tcBorders>
              <w:top w:val="single" w:color="auto" w:sz="12" w:space="0"/>
              <w:bottom w:val="single" w:color="auto" w:sz="12"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341,976.4</w:t>
            </w:r>
            <w:r>
              <w:rPr>
                <w:rFonts w:hint="eastAsia" w:ascii="宋体" w:hAnsi="宋体" w:cs="宋体"/>
                <w:b/>
                <w:bCs/>
                <w:color w:val="auto"/>
                <w:kern w:val="0"/>
                <w:sz w:val="18"/>
                <w:szCs w:val="18"/>
              </w:rPr>
              <w:t>5</w:t>
            </w:r>
            <w:r>
              <w:rPr>
                <w:rFonts w:ascii="宋体" w:hAnsi="宋体" w:cs="宋体"/>
                <w:b/>
                <w:bCs/>
                <w:color w:val="auto"/>
                <w:kern w:val="0"/>
                <w:sz w:val="18"/>
                <w:szCs w:val="18"/>
              </w:rPr>
              <w:t xml:space="preserve"> </w:t>
            </w:r>
          </w:p>
        </w:tc>
      </w:tr>
    </w:tbl>
    <w:p>
      <w:pPr>
        <w:tabs>
          <w:tab w:val="left" w:pos="2398"/>
        </w:tabs>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⑦涉及政府补助的其他应收款：</w:t>
      </w:r>
    </w:p>
    <w:tbl>
      <w:tblPr>
        <w:tblStyle w:val="9"/>
        <w:tblW w:w="8789" w:type="dxa"/>
        <w:tblCaption w:val="&quot;\\lisheng\共享\1、伟隆2022年度审计\1、2022年度审计\1、附注及报告\2022年\附注计算-伟隆 - 2022.xlsx&quot; &quot;2022附注格式!_ReportTable_0031&quot;"/>
        <w:tblDescription w:val="A176:E178"/>
        <w:tblInd w:w="107"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7" w:type="dxa"/>
          <w:bottom w:w="0" w:type="dxa"/>
          <w:right w:w="107" w:type="dxa"/>
        </w:tblCellMar>
      </w:tblPr>
      <w:tblGrid>
        <w:gridCol w:w="1843"/>
        <w:gridCol w:w="2126"/>
        <w:gridCol w:w="1418"/>
        <w:gridCol w:w="1276"/>
        <w:gridCol w:w="21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7" w:type="dxa"/>
            <w:bottom w:w="0" w:type="dxa"/>
            <w:right w:w="107" w:type="dxa"/>
          </w:tblCellMar>
        </w:tblPrEx>
        <w:trPr>
          <w:cantSplit/>
          <w:trHeight w:val="454" w:hRule="atLeast"/>
        </w:trPr>
        <w:tc>
          <w:tcPr>
            <w:tcW w:w="1843" w:type="dxa"/>
            <w:tcBorders>
              <w:bottom w:val="single" w:color="auto" w:sz="12"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单位名称</w:t>
            </w:r>
          </w:p>
        </w:tc>
        <w:tc>
          <w:tcPr>
            <w:tcW w:w="2126" w:type="dxa"/>
            <w:tcBorders>
              <w:bottom w:val="single" w:color="auto" w:sz="12" w:space="0"/>
            </w:tcBorders>
            <w:vAlign w:val="center"/>
          </w:tcPr>
          <w:p>
            <w:pPr>
              <w:keepNext/>
              <w:overflowPunct w:val="0"/>
              <w:autoSpaceDE w:val="0"/>
              <w:autoSpaceDN w:val="0"/>
              <w:adjustRightInd w:val="0"/>
              <w:snapToGrid w:val="0"/>
              <w:spacing w:after="50"/>
              <w:ind w:right="34"/>
              <w:jc w:val="center"/>
              <w:textAlignment w:val="baseline"/>
              <w:outlineLvl w:val="0"/>
              <w:rPr>
                <w:b/>
                <w:color w:val="auto"/>
                <w:sz w:val="18"/>
                <w:szCs w:val="18"/>
              </w:rPr>
            </w:pPr>
            <w:r>
              <w:rPr>
                <w:rFonts w:hint="eastAsia"/>
                <w:b/>
                <w:color w:val="auto"/>
                <w:sz w:val="18"/>
                <w:szCs w:val="18"/>
              </w:rPr>
              <w:t>政府补助项目名称</w:t>
            </w:r>
          </w:p>
        </w:tc>
        <w:tc>
          <w:tcPr>
            <w:tcW w:w="1418" w:type="dxa"/>
            <w:tcBorders>
              <w:bottom w:val="single" w:color="auto" w:sz="12" w:space="0"/>
            </w:tcBorders>
            <w:vAlign w:val="center"/>
          </w:tcPr>
          <w:p>
            <w:pPr>
              <w:keepNext/>
              <w:overflowPunct w:val="0"/>
              <w:autoSpaceDE w:val="0"/>
              <w:autoSpaceDN w:val="0"/>
              <w:adjustRightInd w:val="0"/>
              <w:snapToGrid w:val="0"/>
              <w:spacing w:after="50"/>
              <w:ind w:right="34"/>
              <w:jc w:val="center"/>
              <w:textAlignment w:val="baseline"/>
              <w:outlineLvl w:val="0"/>
              <w:rPr>
                <w:b/>
                <w:color w:val="auto"/>
                <w:sz w:val="18"/>
                <w:szCs w:val="18"/>
              </w:rPr>
            </w:pPr>
            <w:r>
              <w:rPr>
                <w:rFonts w:hint="eastAsia"/>
                <w:b/>
                <w:color w:val="auto"/>
                <w:sz w:val="18"/>
                <w:szCs w:val="18"/>
              </w:rPr>
              <w:t>期末余额</w:t>
            </w:r>
          </w:p>
        </w:tc>
        <w:tc>
          <w:tcPr>
            <w:tcW w:w="1276" w:type="dxa"/>
            <w:tcBorders>
              <w:bottom w:val="single" w:color="auto" w:sz="12" w:space="0"/>
            </w:tcBorders>
            <w:vAlign w:val="center"/>
          </w:tcPr>
          <w:p>
            <w:pPr>
              <w:keepNext/>
              <w:overflowPunct w:val="0"/>
              <w:autoSpaceDE w:val="0"/>
              <w:autoSpaceDN w:val="0"/>
              <w:adjustRightInd w:val="0"/>
              <w:snapToGrid w:val="0"/>
              <w:spacing w:after="50"/>
              <w:ind w:right="34"/>
              <w:jc w:val="center"/>
              <w:textAlignment w:val="baseline"/>
              <w:outlineLvl w:val="0"/>
              <w:rPr>
                <w:b/>
                <w:color w:val="auto"/>
                <w:sz w:val="18"/>
                <w:szCs w:val="18"/>
              </w:rPr>
            </w:pPr>
            <w:r>
              <w:rPr>
                <w:rFonts w:hint="eastAsia"/>
                <w:b/>
                <w:color w:val="auto"/>
                <w:sz w:val="18"/>
                <w:szCs w:val="18"/>
              </w:rPr>
              <w:t>期末账龄</w:t>
            </w:r>
          </w:p>
        </w:tc>
        <w:tc>
          <w:tcPr>
            <w:tcW w:w="2126" w:type="dxa"/>
            <w:tcBorders>
              <w:bottom w:val="single" w:color="auto" w:sz="12" w:space="0"/>
            </w:tcBorders>
            <w:vAlign w:val="center"/>
          </w:tcPr>
          <w:p>
            <w:pPr>
              <w:keepNext/>
              <w:overflowPunct w:val="0"/>
              <w:autoSpaceDE w:val="0"/>
              <w:autoSpaceDN w:val="0"/>
              <w:adjustRightInd w:val="0"/>
              <w:snapToGrid w:val="0"/>
              <w:spacing w:after="50"/>
              <w:ind w:right="34"/>
              <w:jc w:val="center"/>
              <w:textAlignment w:val="baseline"/>
              <w:outlineLvl w:val="0"/>
              <w:rPr>
                <w:b/>
                <w:color w:val="auto"/>
                <w:sz w:val="18"/>
                <w:szCs w:val="18"/>
              </w:rPr>
            </w:pPr>
            <w:r>
              <w:rPr>
                <w:rFonts w:hint="eastAsia"/>
                <w:b/>
                <w:color w:val="auto"/>
                <w:sz w:val="18"/>
                <w:szCs w:val="18"/>
              </w:rPr>
              <w:t>预计收取的时间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7" w:type="dxa"/>
            <w:bottom w:w="0" w:type="dxa"/>
            <w:right w:w="107" w:type="dxa"/>
          </w:tblCellMar>
        </w:tblPrEx>
        <w:trPr>
          <w:cantSplit/>
          <w:trHeight w:val="454" w:hRule="atLeast"/>
        </w:trPr>
        <w:tc>
          <w:tcPr>
            <w:tcW w:w="1843" w:type="dxa"/>
            <w:tcBorders>
              <w:bottom w:val="single" w:color="auto" w:sz="12" w:space="0"/>
            </w:tcBorders>
            <w:vAlign w:val="bottom"/>
          </w:tcPr>
          <w:p>
            <w:pPr>
              <w:rPr>
                <w:rFonts w:ascii="宋体" w:hAnsi="宋体" w:cs="宋体"/>
                <w:color w:val="auto"/>
                <w:sz w:val="18"/>
                <w:szCs w:val="18"/>
              </w:rPr>
            </w:pPr>
            <w:r>
              <w:rPr>
                <w:rFonts w:hint="eastAsia"/>
                <w:color w:val="auto"/>
                <w:sz w:val="18"/>
                <w:szCs w:val="18"/>
              </w:rPr>
              <w:t>应收残疾人就业增值税优惠</w:t>
            </w:r>
          </w:p>
        </w:tc>
        <w:tc>
          <w:tcPr>
            <w:tcW w:w="2126" w:type="dxa"/>
            <w:tcBorders>
              <w:bottom w:val="single" w:color="auto" w:sz="12" w:space="0"/>
            </w:tcBorders>
            <w:vAlign w:val="bottom"/>
          </w:tcPr>
          <w:p>
            <w:pPr>
              <w:jc w:val="center"/>
              <w:rPr>
                <w:rFonts w:ascii="宋体" w:hAnsi="宋体" w:cs="宋体"/>
                <w:color w:val="auto"/>
                <w:sz w:val="18"/>
                <w:szCs w:val="18"/>
              </w:rPr>
            </w:pPr>
            <w:r>
              <w:rPr>
                <w:rFonts w:hint="eastAsia"/>
                <w:color w:val="auto"/>
                <w:sz w:val="18"/>
                <w:szCs w:val="18"/>
              </w:rPr>
              <w:t>残疾人即征即退增值税</w:t>
            </w:r>
          </w:p>
        </w:tc>
        <w:tc>
          <w:tcPr>
            <w:tcW w:w="1418" w:type="dxa"/>
            <w:tcBorders>
              <w:bottom w:val="single" w:color="auto" w:sz="12"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1,515,465.08</w:t>
            </w:r>
          </w:p>
        </w:tc>
        <w:tc>
          <w:tcPr>
            <w:tcW w:w="1276" w:type="dxa"/>
            <w:tcBorders>
              <w:bottom w:val="single" w:color="auto" w:sz="12" w:space="0"/>
            </w:tcBorders>
            <w:vAlign w:val="bottom"/>
          </w:tcPr>
          <w:p>
            <w:pPr>
              <w:autoSpaceDE w:val="0"/>
              <w:autoSpaceDN w:val="0"/>
              <w:adjustRightInd w:val="0"/>
              <w:jc w:val="center"/>
              <w:rPr>
                <w:rFonts w:ascii="宋体" w:hAnsi="宋体" w:cs="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年以内、</w:t>
            </w:r>
            <w:r>
              <w:rPr>
                <w:rFonts w:ascii="宋体" w:hAnsi="宋体" w:cs="宋体"/>
                <w:color w:val="auto"/>
                <w:kern w:val="0"/>
                <w:sz w:val="18"/>
                <w:szCs w:val="18"/>
              </w:rPr>
              <w:t>1-2</w:t>
            </w:r>
            <w:r>
              <w:rPr>
                <w:rFonts w:hint="eastAsia" w:ascii="宋体" w:hAnsi="宋体" w:cs="宋体"/>
                <w:color w:val="auto"/>
                <w:kern w:val="0"/>
                <w:sz w:val="18"/>
                <w:szCs w:val="18"/>
              </w:rPr>
              <w:t>年</w:t>
            </w:r>
          </w:p>
        </w:tc>
        <w:tc>
          <w:tcPr>
            <w:tcW w:w="2126" w:type="dxa"/>
            <w:tcBorders>
              <w:bottom w:val="single" w:color="auto" w:sz="12" w:space="0"/>
            </w:tcBorders>
            <w:vAlign w:val="bottom"/>
          </w:tcPr>
          <w:p>
            <w:pPr>
              <w:autoSpaceDE w:val="0"/>
              <w:autoSpaceDN w:val="0"/>
              <w:adjustRightInd w:val="0"/>
              <w:jc w:val="center"/>
              <w:rPr>
                <w:rFonts w:ascii="宋体" w:hAnsi="宋体" w:cs="宋体"/>
                <w:color w:val="auto"/>
                <w:kern w:val="0"/>
                <w:sz w:val="18"/>
                <w:szCs w:val="18"/>
              </w:rPr>
            </w:pPr>
            <w:r>
              <w:rPr>
                <w:rFonts w:ascii="宋体" w:hAnsi="宋体" w:cs="宋体"/>
                <w:color w:val="auto"/>
                <w:kern w:val="0"/>
                <w:sz w:val="18"/>
                <w:szCs w:val="18"/>
              </w:rPr>
              <w:t>2023</w:t>
            </w:r>
            <w:r>
              <w:rPr>
                <w:rFonts w:hint="eastAsia" w:ascii="宋体" w:hAnsi="宋体" w:cs="宋体"/>
                <w:color w:val="auto"/>
                <w:kern w:val="0"/>
                <w:sz w:val="18"/>
                <w:szCs w:val="18"/>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7" w:type="dxa"/>
            <w:bottom w:w="0" w:type="dxa"/>
            <w:right w:w="107" w:type="dxa"/>
          </w:tblCellMar>
        </w:tblPrEx>
        <w:trPr>
          <w:cantSplit/>
          <w:trHeight w:val="454" w:hRule="atLeast"/>
        </w:trPr>
        <w:tc>
          <w:tcPr>
            <w:tcW w:w="1843" w:type="dxa"/>
            <w:tcBorders>
              <w:top w:val="single" w:color="auto" w:sz="12" w:space="0"/>
            </w:tcBorders>
            <w:vAlign w:val="bottom"/>
          </w:tcPr>
          <w:p>
            <w:pPr>
              <w:ind w:firstLine="361"/>
              <w:jc w:val="center"/>
              <w:rPr>
                <w:rFonts w:ascii="宋体" w:hAnsi="宋体" w:cs="宋体"/>
                <w:b/>
                <w:bCs/>
                <w:color w:val="auto"/>
                <w:sz w:val="18"/>
                <w:szCs w:val="18"/>
              </w:rPr>
            </w:pPr>
            <w:r>
              <w:rPr>
                <w:rFonts w:hint="eastAsia" w:ascii="宋体" w:hAnsi="宋体"/>
                <w:b/>
                <w:bCs/>
                <w:color w:val="auto"/>
                <w:sz w:val="18"/>
                <w:szCs w:val="18"/>
              </w:rPr>
              <w:t>合计</w:t>
            </w:r>
          </w:p>
        </w:tc>
        <w:tc>
          <w:tcPr>
            <w:tcW w:w="2126" w:type="dxa"/>
            <w:tcBorders>
              <w:top w:val="single" w:color="auto" w:sz="12" w:space="0"/>
            </w:tcBorders>
            <w:vAlign w:val="bottom"/>
          </w:tcPr>
          <w:p>
            <w:pPr>
              <w:ind w:firstLine="361"/>
              <w:jc w:val="right"/>
              <w:rPr>
                <w:rFonts w:cs="宋体" w:asciiTheme="minorEastAsia" w:hAnsiTheme="minorEastAsia" w:eastAsiaTheme="minorEastAsia"/>
                <w:b/>
                <w:bCs/>
                <w:color w:val="auto"/>
                <w:sz w:val="18"/>
                <w:szCs w:val="18"/>
              </w:rPr>
            </w:pPr>
          </w:p>
        </w:tc>
        <w:tc>
          <w:tcPr>
            <w:tcW w:w="1418" w:type="dxa"/>
            <w:tcBorders>
              <w:top w:val="single" w:color="auto" w:sz="12"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1,515,465.08</w:t>
            </w:r>
          </w:p>
        </w:tc>
        <w:tc>
          <w:tcPr>
            <w:tcW w:w="1276" w:type="dxa"/>
            <w:tcBorders>
              <w:top w:val="single" w:color="auto" w:sz="12" w:space="0"/>
            </w:tcBorders>
            <w:vAlign w:val="bottom"/>
          </w:tcPr>
          <w:p>
            <w:pPr>
              <w:autoSpaceDE w:val="0"/>
              <w:autoSpaceDN w:val="0"/>
              <w:adjustRightInd w:val="0"/>
              <w:jc w:val="center"/>
              <w:rPr>
                <w:rFonts w:ascii="宋体" w:hAnsi="宋体" w:cs="宋体"/>
                <w:b/>
                <w:bCs/>
                <w:color w:val="auto"/>
                <w:kern w:val="0"/>
                <w:sz w:val="18"/>
                <w:szCs w:val="18"/>
              </w:rPr>
            </w:pPr>
          </w:p>
        </w:tc>
        <w:tc>
          <w:tcPr>
            <w:tcW w:w="2126" w:type="dxa"/>
            <w:tcBorders>
              <w:top w:val="single" w:color="auto" w:sz="12" w:space="0"/>
            </w:tcBorders>
            <w:vAlign w:val="bottom"/>
          </w:tcPr>
          <w:p>
            <w:pPr>
              <w:autoSpaceDE w:val="0"/>
              <w:autoSpaceDN w:val="0"/>
              <w:adjustRightInd w:val="0"/>
              <w:jc w:val="center"/>
              <w:rPr>
                <w:rFonts w:ascii="宋体" w:hAnsi="宋体" w:cs="宋体"/>
                <w:b/>
                <w:bCs/>
                <w:color w:val="auto"/>
                <w:kern w:val="0"/>
                <w:sz w:val="18"/>
                <w:szCs w:val="18"/>
              </w:rPr>
            </w:pPr>
          </w:p>
        </w:tc>
      </w:tr>
    </w:tbl>
    <w:p>
      <w:pPr>
        <w:pStyle w:val="5"/>
        <w:spacing w:before="150" w:beforeLines="50" w:after="150" w:afterLines="50" w:line="360" w:lineRule="auto"/>
        <w:ind w:firstLine="420" w:firstLineChars="200"/>
        <w:rPr>
          <w:rFonts w:ascii="宋体" w:hAnsi="宋体" w:eastAsia="宋体"/>
          <w:color w:val="auto"/>
          <w:szCs w:val="21"/>
        </w:rPr>
      </w:pPr>
      <w:r>
        <w:rPr>
          <w:rFonts w:hint="eastAsia" w:ascii="宋体" w:hAnsi="宋体" w:eastAsia="宋体"/>
          <w:color w:val="auto"/>
          <w:szCs w:val="21"/>
        </w:rPr>
        <w:t>⑧本期无因金融资产转移而终止确认的其他应收款。</w:t>
      </w:r>
    </w:p>
    <w:p>
      <w:pPr>
        <w:rPr>
          <w:color w:val="auto"/>
          <w:szCs w:val="21"/>
        </w:rPr>
      </w:pPr>
      <w:r>
        <w:rPr>
          <w:rFonts w:hint="eastAsia"/>
          <w:color w:val="auto"/>
          <w:szCs w:val="21"/>
        </w:rPr>
        <w:t xml:space="preserve">    </w:t>
      </w:r>
      <w:r>
        <w:rPr>
          <w:rFonts w:hint="eastAsia" w:ascii="宋体" w:hAnsi="宋体"/>
          <w:color w:val="auto"/>
          <w:szCs w:val="21"/>
        </w:rPr>
        <w:t>⑨本期公司无转移其他应收款且继续涉入形成的资产、负债金额。</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8、存货</w:t>
      </w:r>
    </w:p>
    <w:p>
      <w:pPr>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（1）存货分类：</w:t>
      </w:r>
    </w:p>
    <w:tbl>
      <w:tblPr>
        <w:tblStyle w:val="9"/>
        <w:tblW w:w="5000" w:type="pct"/>
        <w:tblCaption w:val="&quot;\\lisheng\共享\1、伟隆2022年度审计\1、2022年度审计\1、附注及报告\2022年\附注计算-伟隆 - 2022.xlsx&quot; &quot;2022附注格式!_ReportTable_0032&quot;"/>
        <w:tblDescription w:val="A181:G190"/>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31" w:type="dxa"/>
          <w:bottom w:w="0" w:type="dxa"/>
          <w:right w:w="31" w:type="dxa"/>
        </w:tblCellMar>
      </w:tblPr>
      <w:tblGrid>
        <w:gridCol w:w="1057"/>
        <w:gridCol w:w="1509"/>
        <w:gridCol w:w="1304"/>
        <w:gridCol w:w="1509"/>
        <w:gridCol w:w="1509"/>
        <w:gridCol w:w="1304"/>
        <w:gridCol w:w="15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545" w:type="pct"/>
            <w:vMerge w:val="restart"/>
            <w:tcBorders>
              <w:top w:val="single" w:color="auto" w:sz="12" w:space="0"/>
              <w:left w:val="nil"/>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项</w:t>
            </w:r>
            <w:r>
              <w:rPr>
                <w:rFonts w:ascii="宋体" w:hAnsi="宋体"/>
                <w:b/>
                <w:color w:val="auto"/>
                <w:sz w:val="18"/>
                <w:szCs w:val="18"/>
              </w:rPr>
              <w:t>目</w:t>
            </w:r>
          </w:p>
        </w:tc>
        <w:tc>
          <w:tcPr>
            <w:tcW w:w="2227" w:type="pct"/>
            <w:gridSpan w:val="3"/>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期末余额</w:t>
            </w:r>
          </w:p>
        </w:tc>
        <w:tc>
          <w:tcPr>
            <w:tcW w:w="2228" w:type="pct"/>
            <w:gridSpan w:val="3"/>
            <w:tcBorders>
              <w:top w:val="single" w:color="auto" w:sz="12" w:space="0"/>
              <w:left w:val="single" w:color="auto" w:sz="4" w:space="0"/>
              <w:bottom w:val="single" w:color="auto" w:sz="4" w:space="0"/>
              <w:right w:val="nil"/>
            </w:tcBorders>
            <w:vAlign w:val="center"/>
          </w:tcPr>
          <w:p>
            <w:pPr>
              <w:jc w:val="center"/>
              <w:rPr>
                <w:rFonts w:ascii="宋体" w:hAnsi="宋体"/>
                <w:b/>
                <w:color w:val="auto"/>
                <w:sz w:val="18"/>
                <w:szCs w:val="18"/>
              </w:rPr>
            </w:pPr>
            <w:r>
              <w:rPr>
                <w:rFonts w:hint="eastAsia" w:ascii="宋体" w:hAnsi="宋体"/>
                <w:b/>
                <w:color w:val="auto"/>
                <w:sz w:val="18"/>
                <w:szCs w:val="18"/>
              </w:rPr>
              <w:t>期初余额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0" w:type="auto"/>
            <w:vMerge w:val="continue"/>
            <w:tcBorders>
              <w:top w:val="single" w:color="auto" w:sz="12" w:space="0"/>
              <w:left w:val="nil"/>
              <w:bottom w:val="single" w:color="auto" w:sz="12" w:space="0"/>
              <w:right w:val="single" w:color="auto" w:sz="4" w:space="0"/>
            </w:tcBorders>
            <w:vAlign w:val="center"/>
          </w:tcPr>
          <w:p>
            <w:pPr>
              <w:widowControl/>
              <w:jc w:val="left"/>
              <w:rPr>
                <w:rFonts w:ascii="宋体" w:hAnsi="宋体"/>
                <w:b/>
                <w:color w:val="auto"/>
                <w:sz w:val="18"/>
                <w:szCs w:val="18"/>
              </w:rPr>
            </w:pPr>
          </w:p>
        </w:tc>
        <w:tc>
          <w:tcPr>
            <w:tcW w:w="778"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账面余额</w:t>
            </w:r>
          </w:p>
        </w:tc>
        <w:tc>
          <w:tcPr>
            <w:tcW w:w="672"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跌价准备</w:t>
            </w:r>
          </w:p>
        </w:tc>
        <w:tc>
          <w:tcPr>
            <w:tcW w:w="778"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账面价值</w:t>
            </w:r>
          </w:p>
        </w:tc>
        <w:tc>
          <w:tcPr>
            <w:tcW w:w="778"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账面余额</w:t>
            </w:r>
          </w:p>
        </w:tc>
        <w:tc>
          <w:tcPr>
            <w:tcW w:w="672"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跌价准备</w:t>
            </w:r>
          </w:p>
        </w:tc>
        <w:tc>
          <w:tcPr>
            <w:tcW w:w="778" w:type="pct"/>
            <w:tcBorders>
              <w:top w:val="single" w:color="auto" w:sz="4" w:space="0"/>
              <w:left w:val="single" w:color="auto" w:sz="4" w:space="0"/>
              <w:bottom w:val="single" w:color="auto" w:sz="12" w:space="0"/>
              <w:right w:val="nil"/>
            </w:tcBorders>
            <w:vAlign w:val="center"/>
          </w:tcPr>
          <w:p>
            <w:pPr>
              <w:jc w:val="center"/>
              <w:rPr>
                <w:rFonts w:ascii="宋体" w:hAnsi="宋体"/>
                <w:b/>
                <w:color w:val="auto"/>
                <w:sz w:val="18"/>
                <w:szCs w:val="18"/>
              </w:rPr>
            </w:pPr>
            <w:r>
              <w:rPr>
                <w:rFonts w:hint="eastAsia" w:ascii="宋体" w:hAnsi="宋体"/>
                <w:b/>
                <w:color w:val="auto"/>
                <w:sz w:val="18"/>
                <w:szCs w:val="18"/>
              </w:rPr>
              <w:t>账面价值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545" w:type="pct"/>
            <w:tcBorders>
              <w:top w:val="single" w:color="auto" w:sz="12" w:space="0"/>
              <w:left w:val="nil"/>
              <w:bottom w:val="single" w:color="auto" w:sz="4" w:space="0"/>
              <w:right w:val="single" w:color="auto" w:sz="4" w:space="0"/>
            </w:tcBorders>
            <w:vAlign w:val="bottom"/>
          </w:tcPr>
          <w:p>
            <w:pPr>
              <w:rPr>
                <w:rFonts w:ascii="宋体" w:hAnsi="宋体" w:cs="宋体"/>
                <w:color w:val="auto"/>
                <w:sz w:val="15"/>
                <w:szCs w:val="15"/>
              </w:rPr>
            </w:pPr>
            <w:r>
              <w:rPr>
                <w:rFonts w:hint="eastAsia" w:ascii="宋体" w:hAnsi="宋体"/>
                <w:color w:val="auto"/>
                <w:sz w:val="15"/>
                <w:szCs w:val="15"/>
              </w:rPr>
              <w:t>原材料</w:t>
            </w:r>
          </w:p>
        </w:tc>
        <w:tc>
          <w:tcPr>
            <w:tcW w:w="778"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xml:space="preserve">19,617,197.62 </w:t>
            </w:r>
          </w:p>
        </w:tc>
        <w:tc>
          <w:tcPr>
            <w:tcW w:w="672"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xml:space="preserve">176,751.33 </w:t>
            </w:r>
          </w:p>
        </w:tc>
        <w:tc>
          <w:tcPr>
            <w:tcW w:w="778"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xml:space="preserve">19,440,446.29 </w:t>
            </w:r>
          </w:p>
        </w:tc>
        <w:tc>
          <w:tcPr>
            <w:tcW w:w="778"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19,568,066.19</w:t>
            </w:r>
          </w:p>
        </w:tc>
        <w:tc>
          <w:tcPr>
            <w:tcW w:w="672"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67,710.50</w:t>
            </w:r>
          </w:p>
        </w:tc>
        <w:tc>
          <w:tcPr>
            <w:tcW w:w="778" w:type="pct"/>
            <w:tcBorders>
              <w:top w:val="single" w:color="auto" w:sz="12" w:space="0"/>
              <w:left w:val="single" w:color="auto" w:sz="4" w:space="0"/>
              <w:bottom w:val="single" w:color="auto" w:sz="4" w:space="0"/>
              <w:right w:val="nil"/>
            </w:tcBorders>
            <w:vAlign w:val="bottom"/>
          </w:tcPr>
          <w:p>
            <w:pPr>
              <w:jc w:val="right"/>
              <w:rPr>
                <w:rFonts w:ascii="宋体" w:hAnsi="宋体" w:cs="宋体"/>
                <w:color w:val="auto"/>
                <w:sz w:val="18"/>
                <w:szCs w:val="18"/>
              </w:rPr>
            </w:pPr>
            <w:r>
              <w:rPr>
                <w:rFonts w:ascii="宋体" w:hAnsi="宋体"/>
                <w:color w:val="auto"/>
                <w:sz w:val="18"/>
                <w:szCs w:val="18"/>
              </w:rPr>
              <w:t>19,500,355.69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545" w:type="pct"/>
            <w:tcBorders>
              <w:top w:val="single" w:color="auto" w:sz="4" w:space="0"/>
              <w:left w:val="nil"/>
              <w:bottom w:val="single" w:color="auto" w:sz="4" w:space="0"/>
              <w:right w:val="single" w:color="auto" w:sz="4" w:space="0"/>
            </w:tcBorders>
            <w:vAlign w:val="bottom"/>
          </w:tcPr>
          <w:p>
            <w:pPr>
              <w:rPr>
                <w:rFonts w:ascii="宋体" w:hAnsi="宋体" w:cs="宋体"/>
                <w:color w:val="auto"/>
                <w:sz w:val="15"/>
                <w:szCs w:val="15"/>
              </w:rPr>
            </w:pPr>
            <w:r>
              <w:rPr>
                <w:rFonts w:hint="eastAsia" w:ascii="宋体" w:hAnsi="宋体"/>
                <w:color w:val="auto"/>
                <w:sz w:val="15"/>
                <w:szCs w:val="15"/>
              </w:rPr>
              <w:t>库存商品</w:t>
            </w:r>
          </w:p>
        </w:tc>
        <w:tc>
          <w:tcPr>
            <w:tcW w:w="778"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xml:space="preserve">38,719,582.35 </w:t>
            </w:r>
          </w:p>
        </w:tc>
        <w:tc>
          <w:tcPr>
            <w:tcW w:w="6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xml:space="preserve">2,719,011.88 </w:t>
            </w:r>
          </w:p>
        </w:tc>
        <w:tc>
          <w:tcPr>
            <w:tcW w:w="778"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xml:space="preserve">36,000,570.47 </w:t>
            </w:r>
          </w:p>
        </w:tc>
        <w:tc>
          <w:tcPr>
            <w:tcW w:w="778"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29,253,554.96</w:t>
            </w:r>
          </w:p>
        </w:tc>
        <w:tc>
          <w:tcPr>
            <w:tcW w:w="67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1,866,813.06</w:t>
            </w:r>
          </w:p>
        </w:tc>
        <w:tc>
          <w:tcPr>
            <w:tcW w:w="778" w:type="pct"/>
            <w:tcBorders>
              <w:top w:val="single" w:color="auto" w:sz="4" w:space="0"/>
              <w:left w:val="single" w:color="auto" w:sz="4" w:space="0"/>
              <w:bottom w:val="single" w:color="auto" w:sz="4" w:space="0"/>
              <w:right w:val="nil"/>
            </w:tcBorders>
            <w:vAlign w:val="bottom"/>
          </w:tcPr>
          <w:p>
            <w:pPr>
              <w:jc w:val="right"/>
              <w:rPr>
                <w:rFonts w:ascii="宋体" w:hAnsi="宋体" w:cs="宋体"/>
                <w:color w:val="auto"/>
                <w:sz w:val="18"/>
                <w:szCs w:val="18"/>
              </w:rPr>
            </w:pPr>
            <w:r>
              <w:rPr>
                <w:rFonts w:ascii="宋体" w:hAnsi="宋体"/>
                <w:color w:val="auto"/>
                <w:sz w:val="18"/>
                <w:szCs w:val="18"/>
              </w:rPr>
              <w:t>27,386,741.90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545" w:type="pct"/>
            <w:tcBorders>
              <w:top w:val="single" w:color="auto" w:sz="4" w:space="0"/>
              <w:left w:val="nil"/>
              <w:bottom w:val="single" w:color="auto" w:sz="4" w:space="0"/>
              <w:right w:val="single" w:color="auto" w:sz="4" w:space="0"/>
            </w:tcBorders>
            <w:vAlign w:val="bottom"/>
          </w:tcPr>
          <w:p>
            <w:pPr>
              <w:rPr>
                <w:rFonts w:ascii="宋体" w:hAnsi="宋体" w:cs="宋体"/>
                <w:color w:val="auto"/>
                <w:sz w:val="15"/>
                <w:szCs w:val="15"/>
              </w:rPr>
            </w:pPr>
            <w:r>
              <w:rPr>
                <w:rFonts w:hint="eastAsia" w:ascii="宋体" w:hAnsi="宋体"/>
                <w:color w:val="auto"/>
                <w:sz w:val="15"/>
                <w:szCs w:val="15"/>
              </w:rPr>
              <w:t>委托加工物资</w:t>
            </w:r>
          </w:p>
        </w:tc>
        <w:tc>
          <w:tcPr>
            <w:tcW w:w="778"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xml:space="preserve">5,287,313.58 </w:t>
            </w:r>
          </w:p>
        </w:tc>
        <w:tc>
          <w:tcPr>
            <w:tcW w:w="6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w:t>
            </w:r>
          </w:p>
        </w:tc>
        <w:tc>
          <w:tcPr>
            <w:tcW w:w="778"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xml:space="preserve">5,287,313.58 </w:t>
            </w:r>
          </w:p>
        </w:tc>
        <w:tc>
          <w:tcPr>
            <w:tcW w:w="778"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2,879,776.75</w:t>
            </w:r>
          </w:p>
        </w:tc>
        <w:tc>
          <w:tcPr>
            <w:tcW w:w="67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778" w:type="pct"/>
            <w:tcBorders>
              <w:top w:val="single" w:color="auto" w:sz="4" w:space="0"/>
              <w:left w:val="single" w:color="auto" w:sz="4" w:space="0"/>
              <w:bottom w:val="single" w:color="auto" w:sz="4" w:space="0"/>
              <w:right w:val="nil"/>
            </w:tcBorders>
            <w:vAlign w:val="bottom"/>
          </w:tcPr>
          <w:p>
            <w:pPr>
              <w:jc w:val="right"/>
              <w:rPr>
                <w:rFonts w:ascii="宋体" w:hAnsi="宋体" w:cs="宋体"/>
                <w:color w:val="auto"/>
                <w:sz w:val="18"/>
                <w:szCs w:val="18"/>
              </w:rPr>
            </w:pPr>
            <w:r>
              <w:rPr>
                <w:rFonts w:ascii="宋体" w:hAnsi="宋体"/>
                <w:color w:val="auto"/>
                <w:sz w:val="18"/>
                <w:szCs w:val="18"/>
              </w:rPr>
              <w:t>2,879,776.75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545" w:type="pct"/>
            <w:tcBorders>
              <w:top w:val="single" w:color="auto" w:sz="4" w:space="0"/>
              <w:left w:val="nil"/>
              <w:bottom w:val="single" w:color="auto" w:sz="4" w:space="0"/>
              <w:right w:val="single" w:color="auto" w:sz="4" w:space="0"/>
            </w:tcBorders>
            <w:vAlign w:val="bottom"/>
          </w:tcPr>
          <w:p>
            <w:pPr>
              <w:rPr>
                <w:rFonts w:ascii="宋体" w:hAnsi="宋体" w:cs="宋体"/>
                <w:color w:val="auto"/>
                <w:sz w:val="15"/>
                <w:szCs w:val="15"/>
              </w:rPr>
            </w:pPr>
            <w:r>
              <w:rPr>
                <w:rFonts w:hint="eastAsia" w:ascii="宋体" w:hAnsi="宋体"/>
                <w:color w:val="auto"/>
                <w:sz w:val="15"/>
                <w:szCs w:val="15"/>
              </w:rPr>
              <w:t>自制半成品</w:t>
            </w:r>
          </w:p>
        </w:tc>
        <w:tc>
          <w:tcPr>
            <w:tcW w:w="778"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xml:space="preserve">28,734,958.68 </w:t>
            </w:r>
          </w:p>
        </w:tc>
        <w:tc>
          <w:tcPr>
            <w:tcW w:w="6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xml:space="preserve">814,520.98 </w:t>
            </w:r>
          </w:p>
        </w:tc>
        <w:tc>
          <w:tcPr>
            <w:tcW w:w="778"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xml:space="preserve">27,920,437.70 </w:t>
            </w:r>
          </w:p>
        </w:tc>
        <w:tc>
          <w:tcPr>
            <w:tcW w:w="778"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31,955,125.17</w:t>
            </w:r>
          </w:p>
        </w:tc>
        <w:tc>
          <w:tcPr>
            <w:tcW w:w="67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1,148,146.45</w:t>
            </w:r>
          </w:p>
        </w:tc>
        <w:tc>
          <w:tcPr>
            <w:tcW w:w="778" w:type="pct"/>
            <w:tcBorders>
              <w:top w:val="single" w:color="auto" w:sz="4" w:space="0"/>
              <w:left w:val="single" w:color="auto" w:sz="4" w:space="0"/>
              <w:bottom w:val="single" w:color="auto" w:sz="4" w:space="0"/>
              <w:right w:val="nil"/>
            </w:tcBorders>
            <w:vAlign w:val="bottom"/>
          </w:tcPr>
          <w:p>
            <w:pPr>
              <w:jc w:val="right"/>
              <w:rPr>
                <w:rFonts w:ascii="宋体" w:hAnsi="宋体" w:cs="宋体"/>
                <w:color w:val="auto"/>
                <w:sz w:val="18"/>
                <w:szCs w:val="18"/>
              </w:rPr>
            </w:pPr>
            <w:r>
              <w:rPr>
                <w:rFonts w:ascii="宋体" w:hAnsi="宋体"/>
                <w:color w:val="auto"/>
                <w:sz w:val="18"/>
                <w:szCs w:val="18"/>
              </w:rPr>
              <w:t>30,806,978.72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545" w:type="pct"/>
            <w:tcBorders>
              <w:top w:val="single" w:color="auto" w:sz="4" w:space="0"/>
              <w:left w:val="nil"/>
              <w:bottom w:val="single" w:color="auto" w:sz="4" w:space="0"/>
              <w:right w:val="single" w:color="auto" w:sz="4" w:space="0"/>
            </w:tcBorders>
            <w:vAlign w:val="bottom"/>
          </w:tcPr>
          <w:p>
            <w:pPr>
              <w:rPr>
                <w:rFonts w:ascii="宋体" w:hAnsi="宋体" w:cs="宋体"/>
                <w:color w:val="auto"/>
                <w:sz w:val="15"/>
                <w:szCs w:val="15"/>
              </w:rPr>
            </w:pPr>
            <w:r>
              <w:rPr>
                <w:rFonts w:hint="eastAsia" w:ascii="宋体" w:hAnsi="宋体"/>
                <w:color w:val="auto"/>
                <w:sz w:val="15"/>
                <w:szCs w:val="15"/>
              </w:rPr>
              <w:t>发出商品</w:t>
            </w:r>
          </w:p>
        </w:tc>
        <w:tc>
          <w:tcPr>
            <w:tcW w:w="778"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xml:space="preserve">4,572,997.78 </w:t>
            </w:r>
          </w:p>
        </w:tc>
        <w:tc>
          <w:tcPr>
            <w:tcW w:w="6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w:t>
            </w:r>
          </w:p>
        </w:tc>
        <w:tc>
          <w:tcPr>
            <w:tcW w:w="778"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xml:space="preserve">4,572,997.78 </w:t>
            </w:r>
          </w:p>
        </w:tc>
        <w:tc>
          <w:tcPr>
            <w:tcW w:w="778"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7,507,069.83</w:t>
            </w:r>
          </w:p>
        </w:tc>
        <w:tc>
          <w:tcPr>
            <w:tcW w:w="67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778" w:type="pct"/>
            <w:tcBorders>
              <w:top w:val="single" w:color="auto" w:sz="4" w:space="0"/>
              <w:left w:val="single" w:color="auto" w:sz="4" w:space="0"/>
              <w:bottom w:val="single" w:color="auto" w:sz="4" w:space="0"/>
              <w:right w:val="nil"/>
            </w:tcBorders>
            <w:vAlign w:val="bottom"/>
          </w:tcPr>
          <w:p>
            <w:pPr>
              <w:jc w:val="right"/>
              <w:rPr>
                <w:rFonts w:ascii="宋体" w:hAnsi="宋体" w:cs="宋体"/>
                <w:color w:val="auto"/>
                <w:sz w:val="18"/>
                <w:szCs w:val="18"/>
              </w:rPr>
            </w:pPr>
            <w:r>
              <w:rPr>
                <w:rFonts w:ascii="宋体" w:hAnsi="宋体"/>
                <w:color w:val="auto"/>
                <w:sz w:val="18"/>
                <w:szCs w:val="18"/>
              </w:rPr>
              <w:t>7,507,069.83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545" w:type="pct"/>
            <w:tcBorders>
              <w:top w:val="single" w:color="auto" w:sz="4" w:space="0"/>
              <w:left w:val="nil"/>
              <w:bottom w:val="single" w:color="auto" w:sz="4" w:space="0"/>
              <w:right w:val="single" w:color="auto" w:sz="4" w:space="0"/>
            </w:tcBorders>
            <w:vAlign w:val="bottom"/>
          </w:tcPr>
          <w:p>
            <w:pPr>
              <w:rPr>
                <w:rFonts w:ascii="宋体" w:hAnsi="宋体" w:cs="宋体"/>
                <w:color w:val="auto"/>
                <w:sz w:val="15"/>
                <w:szCs w:val="15"/>
              </w:rPr>
            </w:pPr>
            <w:r>
              <w:rPr>
                <w:rFonts w:hint="eastAsia" w:ascii="宋体" w:hAnsi="宋体"/>
                <w:color w:val="auto"/>
                <w:sz w:val="15"/>
                <w:szCs w:val="15"/>
              </w:rPr>
              <w:t>在产品</w:t>
            </w:r>
          </w:p>
        </w:tc>
        <w:tc>
          <w:tcPr>
            <w:tcW w:w="778"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xml:space="preserve">13,189,068.55 </w:t>
            </w:r>
          </w:p>
        </w:tc>
        <w:tc>
          <w:tcPr>
            <w:tcW w:w="6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w:t>
            </w:r>
          </w:p>
        </w:tc>
        <w:tc>
          <w:tcPr>
            <w:tcW w:w="778"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xml:space="preserve">13,189,068.55 </w:t>
            </w:r>
          </w:p>
        </w:tc>
        <w:tc>
          <w:tcPr>
            <w:tcW w:w="778"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11,836,276.95</w:t>
            </w:r>
          </w:p>
        </w:tc>
        <w:tc>
          <w:tcPr>
            <w:tcW w:w="67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778" w:type="pct"/>
            <w:tcBorders>
              <w:top w:val="single" w:color="auto" w:sz="4" w:space="0"/>
              <w:left w:val="single" w:color="auto" w:sz="4" w:space="0"/>
              <w:bottom w:val="single" w:color="auto" w:sz="4" w:space="0"/>
              <w:right w:val="nil"/>
            </w:tcBorders>
            <w:vAlign w:val="bottom"/>
          </w:tcPr>
          <w:p>
            <w:pPr>
              <w:jc w:val="right"/>
              <w:rPr>
                <w:rFonts w:ascii="宋体" w:hAnsi="宋体" w:cs="宋体"/>
                <w:color w:val="auto"/>
                <w:sz w:val="18"/>
                <w:szCs w:val="18"/>
              </w:rPr>
            </w:pPr>
            <w:r>
              <w:rPr>
                <w:rFonts w:ascii="宋体" w:hAnsi="宋体"/>
                <w:color w:val="auto"/>
                <w:sz w:val="18"/>
                <w:szCs w:val="18"/>
              </w:rPr>
              <w:t>11,836,276.95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545" w:type="pct"/>
            <w:tcBorders>
              <w:top w:val="single" w:color="auto" w:sz="4" w:space="0"/>
              <w:left w:val="nil"/>
              <w:bottom w:val="single" w:color="auto" w:sz="6" w:space="0"/>
              <w:right w:val="single" w:color="auto" w:sz="4" w:space="0"/>
            </w:tcBorders>
            <w:vAlign w:val="bottom"/>
          </w:tcPr>
          <w:p>
            <w:pPr>
              <w:rPr>
                <w:rFonts w:ascii="宋体" w:hAnsi="宋体"/>
                <w:color w:val="auto"/>
                <w:kern w:val="0"/>
                <w:sz w:val="15"/>
                <w:szCs w:val="15"/>
              </w:rPr>
            </w:pPr>
            <w:r>
              <w:rPr>
                <w:rFonts w:hint="eastAsia" w:ascii="宋体" w:hAnsi="宋体"/>
                <w:color w:val="auto"/>
                <w:kern w:val="0"/>
                <w:sz w:val="15"/>
                <w:szCs w:val="15"/>
              </w:rPr>
              <w:t>周转材料等</w:t>
            </w:r>
          </w:p>
        </w:tc>
        <w:tc>
          <w:tcPr>
            <w:tcW w:w="778" w:type="pct"/>
            <w:tcBorders>
              <w:top w:val="single" w:color="auto" w:sz="4" w:space="0"/>
              <w:left w:val="single" w:color="auto" w:sz="4" w:space="0"/>
              <w:bottom w:val="single" w:color="auto" w:sz="6"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xml:space="preserve">12,501,625.31 </w:t>
            </w:r>
          </w:p>
        </w:tc>
        <w:tc>
          <w:tcPr>
            <w:tcW w:w="672" w:type="pct"/>
            <w:tcBorders>
              <w:top w:val="single" w:color="auto" w:sz="4" w:space="0"/>
              <w:left w:val="single" w:color="auto" w:sz="4" w:space="0"/>
              <w:bottom w:val="single" w:color="auto" w:sz="6"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w:t>
            </w:r>
          </w:p>
        </w:tc>
        <w:tc>
          <w:tcPr>
            <w:tcW w:w="778" w:type="pct"/>
            <w:tcBorders>
              <w:top w:val="single" w:color="auto" w:sz="4" w:space="0"/>
              <w:left w:val="single" w:color="auto" w:sz="4" w:space="0"/>
              <w:bottom w:val="single" w:color="auto" w:sz="6"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5"/>
              </w:rPr>
              <w:t xml:space="preserve">12,501,625.31 </w:t>
            </w:r>
          </w:p>
        </w:tc>
        <w:tc>
          <w:tcPr>
            <w:tcW w:w="778" w:type="pct"/>
            <w:tcBorders>
              <w:top w:val="single" w:color="auto" w:sz="4" w:space="0"/>
              <w:left w:val="single" w:color="auto" w:sz="4" w:space="0"/>
              <w:bottom w:val="single" w:color="auto" w:sz="6"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12,604,986.27</w:t>
            </w:r>
          </w:p>
        </w:tc>
        <w:tc>
          <w:tcPr>
            <w:tcW w:w="672" w:type="pct"/>
            <w:tcBorders>
              <w:top w:val="single" w:color="auto" w:sz="4" w:space="0"/>
              <w:left w:val="single" w:color="auto" w:sz="4" w:space="0"/>
              <w:bottom w:val="single" w:color="auto" w:sz="6" w:space="0"/>
              <w:right w:val="single" w:color="auto" w:sz="4" w:space="0"/>
            </w:tcBorders>
            <w:vAlign w:val="bottom"/>
          </w:tcPr>
          <w:p>
            <w:pPr>
              <w:jc w:val="right"/>
              <w:rPr>
                <w:rFonts w:ascii="宋体" w:hAnsi="宋体" w:cs="宋体"/>
                <w:color w:val="auto"/>
                <w:sz w:val="18"/>
                <w:szCs w:val="18"/>
              </w:rPr>
            </w:pPr>
          </w:p>
        </w:tc>
        <w:tc>
          <w:tcPr>
            <w:tcW w:w="778" w:type="pct"/>
            <w:tcBorders>
              <w:top w:val="single" w:color="auto" w:sz="4" w:space="0"/>
              <w:left w:val="single" w:color="auto" w:sz="4" w:space="0"/>
              <w:bottom w:val="single" w:color="auto" w:sz="6" w:space="0"/>
              <w:right w:val="nil"/>
            </w:tcBorders>
            <w:vAlign w:val="bottom"/>
          </w:tcPr>
          <w:p>
            <w:pPr>
              <w:jc w:val="right"/>
              <w:rPr>
                <w:rFonts w:ascii="宋体" w:hAnsi="宋体" w:cs="宋体"/>
                <w:color w:val="auto"/>
                <w:sz w:val="18"/>
                <w:szCs w:val="18"/>
              </w:rPr>
            </w:pPr>
            <w:r>
              <w:rPr>
                <w:rFonts w:ascii="宋体" w:hAnsi="宋体"/>
                <w:color w:val="auto"/>
                <w:sz w:val="18"/>
                <w:szCs w:val="18"/>
              </w:rPr>
              <w:t>12,604,986.27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545" w:type="pct"/>
            <w:tcBorders>
              <w:top w:val="single" w:color="auto" w:sz="12" w:space="0"/>
              <w:left w:val="nil"/>
              <w:bottom w:val="single" w:color="auto" w:sz="12" w:space="0"/>
              <w:right w:val="single" w:color="auto" w:sz="4" w:space="0"/>
            </w:tcBorders>
            <w:vAlign w:val="bottom"/>
          </w:tcPr>
          <w:p>
            <w:pPr>
              <w:jc w:val="center"/>
              <w:rPr>
                <w:rFonts w:ascii="宋体" w:hAnsi="宋体"/>
                <w:b/>
                <w:color w:val="auto"/>
                <w:sz w:val="15"/>
                <w:szCs w:val="15"/>
              </w:rPr>
            </w:pPr>
            <w:r>
              <w:rPr>
                <w:rFonts w:hint="eastAsia" w:ascii="宋体" w:hAnsi="宋体"/>
                <w:b/>
                <w:color w:val="auto"/>
                <w:sz w:val="15"/>
                <w:szCs w:val="15"/>
              </w:rPr>
              <w:t>合计</w:t>
            </w:r>
          </w:p>
        </w:tc>
        <w:tc>
          <w:tcPr>
            <w:tcW w:w="778"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5"/>
              </w:rPr>
              <w:t xml:space="preserve">122,622,743.87 </w:t>
            </w:r>
          </w:p>
        </w:tc>
        <w:tc>
          <w:tcPr>
            <w:tcW w:w="672"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5"/>
              </w:rPr>
              <w:t xml:space="preserve">3,710,284.19 </w:t>
            </w:r>
          </w:p>
        </w:tc>
        <w:tc>
          <w:tcPr>
            <w:tcW w:w="778"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5"/>
              </w:rPr>
              <w:t xml:space="preserve">118,912,459.68 </w:t>
            </w:r>
          </w:p>
        </w:tc>
        <w:tc>
          <w:tcPr>
            <w:tcW w:w="778" w:type="pct"/>
            <w:tcBorders>
              <w:top w:val="single" w:color="auto" w:sz="12" w:space="0"/>
              <w:left w:val="single" w:color="auto" w:sz="4" w:space="0"/>
              <w:bottom w:val="single" w:color="auto" w:sz="12" w:space="0"/>
              <w:right w:val="single" w:color="auto" w:sz="4" w:space="0"/>
            </w:tcBorders>
            <w:vAlign w:val="bottom"/>
          </w:tcPr>
          <w:p>
            <w:pPr>
              <w:jc w:val="right"/>
              <w:rPr>
                <w:rFonts w:ascii="宋体" w:hAnsi="宋体" w:cs="宋体"/>
                <w:b/>
                <w:bCs/>
                <w:color w:val="auto"/>
                <w:sz w:val="18"/>
                <w:szCs w:val="18"/>
              </w:rPr>
            </w:pPr>
            <w:r>
              <w:rPr>
                <w:rFonts w:ascii="宋体" w:hAnsi="宋体"/>
                <w:b/>
                <w:bCs/>
                <w:color w:val="auto"/>
                <w:sz w:val="18"/>
                <w:szCs w:val="18"/>
              </w:rPr>
              <w:t>115,604,856.12</w:t>
            </w:r>
          </w:p>
        </w:tc>
        <w:tc>
          <w:tcPr>
            <w:tcW w:w="672" w:type="pct"/>
            <w:tcBorders>
              <w:top w:val="single" w:color="auto" w:sz="12" w:space="0"/>
              <w:left w:val="single" w:color="auto" w:sz="4" w:space="0"/>
              <w:bottom w:val="single" w:color="auto" w:sz="12" w:space="0"/>
              <w:right w:val="single" w:color="auto" w:sz="4" w:space="0"/>
            </w:tcBorders>
            <w:vAlign w:val="bottom"/>
          </w:tcPr>
          <w:p>
            <w:pPr>
              <w:jc w:val="right"/>
              <w:rPr>
                <w:rFonts w:ascii="宋体" w:hAnsi="宋体" w:cs="宋体"/>
                <w:b/>
                <w:bCs/>
                <w:color w:val="auto"/>
                <w:sz w:val="18"/>
                <w:szCs w:val="18"/>
              </w:rPr>
            </w:pPr>
            <w:r>
              <w:rPr>
                <w:rFonts w:ascii="宋体" w:hAnsi="宋体"/>
                <w:b/>
                <w:bCs/>
                <w:color w:val="auto"/>
                <w:sz w:val="18"/>
                <w:szCs w:val="18"/>
              </w:rPr>
              <w:t>3,082,670.01</w:t>
            </w:r>
          </w:p>
        </w:tc>
        <w:tc>
          <w:tcPr>
            <w:tcW w:w="778" w:type="pct"/>
            <w:tcBorders>
              <w:top w:val="single" w:color="auto" w:sz="12" w:space="0"/>
              <w:left w:val="single" w:color="auto" w:sz="4" w:space="0"/>
              <w:bottom w:val="single" w:color="auto" w:sz="12" w:space="0"/>
              <w:right w:val="nil"/>
            </w:tcBorders>
            <w:vAlign w:val="bottom"/>
          </w:tcPr>
          <w:p>
            <w:pPr>
              <w:jc w:val="right"/>
              <w:rPr>
                <w:rFonts w:ascii="宋体" w:hAnsi="宋体" w:cs="宋体"/>
                <w:b/>
                <w:bCs/>
                <w:color w:val="auto"/>
                <w:sz w:val="18"/>
                <w:szCs w:val="18"/>
              </w:rPr>
            </w:pPr>
            <w:r>
              <w:rPr>
                <w:rFonts w:ascii="宋体" w:hAnsi="宋体"/>
                <w:b/>
                <w:bCs/>
                <w:color w:val="auto"/>
                <w:sz w:val="18"/>
                <w:szCs w:val="18"/>
              </w:rPr>
              <w:t>112,522,186.11</w:t>
            </w:r>
          </w:p>
        </w:tc>
      </w:tr>
    </w:tbl>
    <w:p>
      <w:pPr>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（2）存货跌价准备情况：</w:t>
      </w:r>
    </w:p>
    <w:tbl>
      <w:tblPr>
        <w:tblStyle w:val="9"/>
        <w:tblW w:w="4913" w:type="pct"/>
        <w:tblCaption w:val="&quot;\\lisheng\共享\1、伟隆2022年度审计\1、2022年度审计\1、附注及报告\2022年\附注计算-伟隆 - 2022.xlsx&quot; &quot;2022附注格式!_ReportTable_0033&quot;"/>
        <w:tblDescription w:val="A192:H197"/>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1637"/>
        <w:gridCol w:w="1530"/>
        <w:gridCol w:w="763"/>
        <w:gridCol w:w="877"/>
        <w:gridCol w:w="1468"/>
        <w:gridCol w:w="666"/>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7" w:type="pct"/>
            <w:vMerge w:val="restart"/>
            <w:tcBorders>
              <w:top w:val="single" w:color="auto" w:sz="12" w:space="0"/>
              <w:left w:val="nil"/>
              <w:bottom w:val="single" w:color="auto" w:sz="12" w:space="0"/>
              <w:right w:val="single" w:color="auto" w:sz="4" w:space="0"/>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项</w:t>
            </w:r>
            <w:r>
              <w:rPr>
                <w:rFonts w:ascii="宋体" w:hAnsi="宋体" w:cs="宋体"/>
                <w:b/>
                <w:color w:val="auto"/>
                <w:kern w:val="0"/>
                <w:sz w:val="18"/>
                <w:szCs w:val="18"/>
              </w:rPr>
              <w:t>目</w:t>
            </w:r>
          </w:p>
        </w:tc>
        <w:tc>
          <w:tcPr>
            <w:tcW w:w="845" w:type="pct"/>
            <w:vMerge w:val="restart"/>
            <w:tcBorders>
              <w:top w:val="single" w:color="auto" w:sz="12" w:space="0"/>
              <w:left w:val="single" w:color="auto" w:sz="4" w:space="0"/>
              <w:bottom w:val="single" w:color="auto" w:sz="12" w:space="0"/>
              <w:right w:val="single" w:color="auto" w:sz="4" w:space="0"/>
            </w:tcBorders>
            <w:vAlign w:val="center"/>
          </w:tcPr>
          <w:p>
            <w:pPr>
              <w:widowControl/>
              <w:jc w:val="center"/>
              <w:rPr>
                <w:rFonts w:ascii="宋体" w:hAnsi="宋体" w:cs="宋体"/>
                <w:b/>
                <w:color w:val="auto"/>
                <w:kern w:val="0"/>
                <w:sz w:val="18"/>
                <w:szCs w:val="18"/>
              </w:rPr>
            </w:pPr>
            <w:r>
              <w:rPr>
                <w:rFonts w:hint="eastAsia" w:ascii="宋体" w:hAnsi="宋体"/>
                <w:b/>
                <w:color w:val="auto"/>
                <w:sz w:val="18"/>
                <w:szCs w:val="18"/>
              </w:rPr>
              <w:t>期初余额</w:t>
            </w:r>
          </w:p>
        </w:tc>
        <w:tc>
          <w:tcPr>
            <w:tcW w:w="1184" w:type="pct"/>
            <w:gridSpan w:val="2"/>
            <w:tcBorders>
              <w:top w:val="single" w:color="auto" w:sz="12"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本期增加金额</w:t>
            </w:r>
          </w:p>
        </w:tc>
        <w:tc>
          <w:tcPr>
            <w:tcW w:w="1555" w:type="pct"/>
            <w:gridSpan w:val="3"/>
            <w:tcBorders>
              <w:top w:val="single" w:color="auto" w:sz="12" w:space="0"/>
              <w:left w:val="single" w:color="auto" w:sz="4" w:space="0"/>
              <w:bottom w:val="single" w:color="auto" w:sz="4" w:space="0"/>
              <w:right w:val="single" w:color="auto" w:sz="4" w:space="0"/>
            </w:tcBorders>
            <w:vAlign w:val="center"/>
          </w:tcPr>
          <w:p>
            <w:pPr>
              <w:widowControl/>
              <w:jc w:val="center"/>
              <w:rPr>
                <w:rFonts w:ascii="宋体" w:hAnsi="宋体"/>
                <w:b/>
                <w:color w:val="auto"/>
                <w:sz w:val="18"/>
                <w:szCs w:val="18"/>
              </w:rPr>
            </w:pPr>
            <w:r>
              <w:rPr>
                <w:rFonts w:hint="eastAsia" w:ascii="宋体" w:hAnsi="宋体" w:cs="宋体"/>
                <w:b/>
                <w:color w:val="auto"/>
                <w:kern w:val="0"/>
                <w:sz w:val="18"/>
                <w:szCs w:val="18"/>
              </w:rPr>
              <w:t>本期减少金额</w:t>
            </w:r>
          </w:p>
        </w:tc>
        <w:tc>
          <w:tcPr>
            <w:tcW w:w="758" w:type="pct"/>
            <w:vMerge w:val="restart"/>
            <w:tcBorders>
              <w:top w:val="single" w:color="auto" w:sz="12" w:space="0"/>
              <w:left w:val="single" w:color="auto" w:sz="4" w:space="0"/>
              <w:bottom w:val="single" w:color="auto" w:sz="12" w:space="0"/>
              <w:right w:val="nil"/>
            </w:tcBorders>
            <w:vAlign w:val="center"/>
          </w:tcPr>
          <w:p>
            <w:pPr>
              <w:widowControl/>
              <w:jc w:val="center"/>
              <w:rPr>
                <w:rFonts w:ascii="宋体" w:hAnsi="宋体" w:cs="宋体"/>
                <w:b/>
                <w:color w:val="auto"/>
                <w:kern w:val="0"/>
                <w:sz w:val="18"/>
                <w:szCs w:val="18"/>
              </w:rPr>
            </w:pPr>
            <w:r>
              <w:rPr>
                <w:rFonts w:hint="eastAsia" w:ascii="宋体" w:hAnsi="宋体"/>
                <w:b/>
                <w:color w:val="auto"/>
                <w:sz w:val="18"/>
                <w:szCs w:val="18"/>
              </w:rPr>
              <w:t>期末余额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7" w:type="pct"/>
            <w:vMerge w:val="continue"/>
            <w:tcBorders>
              <w:top w:val="single" w:color="auto" w:sz="12" w:space="0"/>
              <w:left w:val="nil"/>
              <w:bottom w:val="single" w:color="auto" w:sz="12" w:space="0"/>
              <w:right w:val="single" w:color="auto" w:sz="4" w:space="0"/>
            </w:tcBorders>
            <w:vAlign w:val="center"/>
          </w:tcPr>
          <w:p>
            <w:pPr>
              <w:widowControl/>
              <w:jc w:val="left"/>
              <w:rPr>
                <w:rFonts w:ascii="宋体" w:hAnsi="宋体" w:cs="宋体"/>
                <w:b/>
                <w:color w:val="auto"/>
                <w:kern w:val="0"/>
                <w:sz w:val="18"/>
                <w:szCs w:val="18"/>
              </w:rPr>
            </w:pPr>
          </w:p>
        </w:tc>
        <w:tc>
          <w:tcPr>
            <w:tcW w:w="845" w:type="pct"/>
            <w:vMerge w:val="continue"/>
            <w:tcBorders>
              <w:top w:val="single" w:color="auto" w:sz="12" w:space="0"/>
              <w:left w:val="single" w:color="auto" w:sz="4" w:space="0"/>
              <w:bottom w:val="single" w:color="auto" w:sz="12" w:space="0"/>
              <w:right w:val="single" w:color="auto" w:sz="4" w:space="0"/>
            </w:tcBorders>
            <w:vAlign w:val="center"/>
          </w:tcPr>
          <w:p>
            <w:pPr>
              <w:widowControl/>
              <w:jc w:val="left"/>
              <w:rPr>
                <w:rFonts w:ascii="宋体" w:hAnsi="宋体" w:cs="宋体"/>
                <w:b/>
                <w:color w:val="auto"/>
                <w:kern w:val="0"/>
                <w:sz w:val="18"/>
                <w:szCs w:val="18"/>
              </w:rPr>
            </w:pPr>
          </w:p>
        </w:tc>
        <w:tc>
          <w:tcPr>
            <w:tcW w:w="790" w:type="pct"/>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计提</w:t>
            </w:r>
          </w:p>
        </w:tc>
        <w:tc>
          <w:tcPr>
            <w:tcW w:w="394" w:type="pct"/>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其他</w:t>
            </w:r>
          </w:p>
        </w:tc>
        <w:tc>
          <w:tcPr>
            <w:tcW w:w="453" w:type="pct"/>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转回</w:t>
            </w:r>
          </w:p>
        </w:tc>
        <w:tc>
          <w:tcPr>
            <w:tcW w:w="758" w:type="pct"/>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转销</w:t>
            </w:r>
          </w:p>
        </w:tc>
        <w:tc>
          <w:tcPr>
            <w:tcW w:w="344" w:type="pct"/>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其他</w:t>
            </w:r>
          </w:p>
        </w:tc>
        <w:tc>
          <w:tcPr>
            <w:tcW w:w="758" w:type="pct"/>
            <w:vMerge w:val="continue"/>
            <w:tcBorders>
              <w:top w:val="single" w:color="auto" w:sz="12" w:space="0"/>
              <w:left w:val="single" w:color="auto" w:sz="4" w:space="0"/>
              <w:bottom w:val="single" w:color="auto" w:sz="12" w:space="0"/>
              <w:right w:val="nil"/>
            </w:tcBorders>
            <w:vAlign w:val="center"/>
          </w:tcPr>
          <w:p>
            <w:pPr>
              <w:widowControl/>
              <w:jc w:val="left"/>
              <w:rPr>
                <w:rFonts w:ascii="宋体" w:hAnsi="宋体" w:cs="宋体"/>
                <w:b/>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657" w:type="pct"/>
            <w:tcBorders>
              <w:top w:val="single" w:color="auto" w:sz="4" w:space="0"/>
              <w:left w:val="nil"/>
              <w:bottom w:val="single" w:color="auto" w:sz="4" w:space="0"/>
              <w:right w:val="single" w:color="auto" w:sz="4" w:space="0"/>
            </w:tcBorders>
            <w:vAlign w:val="bottom"/>
          </w:tcPr>
          <w:p>
            <w:pPr>
              <w:widowControl/>
              <w:rPr>
                <w:rFonts w:ascii="宋体" w:hAnsi="宋体"/>
                <w:color w:val="auto"/>
                <w:kern w:val="0"/>
                <w:sz w:val="18"/>
                <w:szCs w:val="18"/>
              </w:rPr>
            </w:pPr>
            <w:r>
              <w:rPr>
                <w:rFonts w:hint="eastAsia" w:ascii="宋体" w:hAnsi="宋体"/>
                <w:color w:val="auto"/>
                <w:kern w:val="0"/>
                <w:sz w:val="18"/>
                <w:szCs w:val="18"/>
              </w:rPr>
              <w:t>原材料</w:t>
            </w:r>
          </w:p>
        </w:tc>
        <w:tc>
          <w:tcPr>
            <w:tcW w:w="845"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67,710.50 </w:t>
            </w:r>
          </w:p>
        </w:tc>
        <w:tc>
          <w:tcPr>
            <w:tcW w:w="790"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159,583.34 </w:t>
            </w:r>
          </w:p>
        </w:tc>
        <w:tc>
          <w:tcPr>
            <w:tcW w:w="394"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453"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758"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50,542.51 </w:t>
            </w:r>
          </w:p>
        </w:tc>
        <w:tc>
          <w:tcPr>
            <w:tcW w:w="344"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758" w:type="pct"/>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176,751.33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657" w:type="pct"/>
            <w:tcBorders>
              <w:top w:val="single" w:color="auto" w:sz="4" w:space="0"/>
              <w:left w:val="nil"/>
              <w:bottom w:val="single" w:color="auto" w:sz="4" w:space="0"/>
              <w:right w:val="single" w:color="auto" w:sz="4" w:space="0"/>
            </w:tcBorders>
            <w:vAlign w:val="bottom"/>
          </w:tcPr>
          <w:p>
            <w:pPr>
              <w:widowControl/>
              <w:rPr>
                <w:rFonts w:ascii="宋体" w:hAnsi="宋体"/>
                <w:color w:val="auto"/>
                <w:kern w:val="0"/>
                <w:sz w:val="18"/>
                <w:szCs w:val="18"/>
              </w:rPr>
            </w:pPr>
            <w:r>
              <w:rPr>
                <w:rFonts w:hint="eastAsia" w:ascii="宋体" w:hAnsi="宋体"/>
                <w:color w:val="auto"/>
                <w:kern w:val="0"/>
                <w:sz w:val="18"/>
                <w:szCs w:val="18"/>
              </w:rPr>
              <w:t>库存商品</w:t>
            </w:r>
          </w:p>
        </w:tc>
        <w:tc>
          <w:tcPr>
            <w:tcW w:w="845"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1,866,813.06 </w:t>
            </w:r>
          </w:p>
        </w:tc>
        <w:tc>
          <w:tcPr>
            <w:tcW w:w="790"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1,747,519.97 </w:t>
            </w:r>
          </w:p>
        </w:tc>
        <w:tc>
          <w:tcPr>
            <w:tcW w:w="394"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453"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758"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895,321.15 </w:t>
            </w:r>
          </w:p>
        </w:tc>
        <w:tc>
          <w:tcPr>
            <w:tcW w:w="344"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758" w:type="pct"/>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2,719,011.88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657" w:type="pct"/>
            <w:tcBorders>
              <w:top w:val="single" w:color="auto" w:sz="4" w:space="0"/>
              <w:left w:val="nil"/>
              <w:bottom w:val="single" w:color="auto" w:sz="4" w:space="0"/>
              <w:right w:val="single" w:color="auto" w:sz="4" w:space="0"/>
            </w:tcBorders>
            <w:vAlign w:val="bottom"/>
          </w:tcPr>
          <w:p>
            <w:pPr>
              <w:widowControl/>
              <w:rPr>
                <w:rFonts w:ascii="宋体" w:hAnsi="宋体"/>
                <w:color w:val="auto"/>
                <w:kern w:val="0"/>
                <w:sz w:val="18"/>
                <w:szCs w:val="18"/>
              </w:rPr>
            </w:pPr>
            <w:r>
              <w:rPr>
                <w:rFonts w:hint="eastAsia" w:ascii="宋体" w:hAnsi="宋体"/>
                <w:color w:val="auto"/>
                <w:kern w:val="0"/>
                <w:sz w:val="18"/>
                <w:szCs w:val="18"/>
              </w:rPr>
              <w:t>自制半成品</w:t>
            </w:r>
          </w:p>
        </w:tc>
        <w:tc>
          <w:tcPr>
            <w:tcW w:w="845"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1,148,146.45 </w:t>
            </w:r>
          </w:p>
        </w:tc>
        <w:tc>
          <w:tcPr>
            <w:tcW w:w="790"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635,248.10 </w:t>
            </w:r>
          </w:p>
        </w:tc>
        <w:tc>
          <w:tcPr>
            <w:tcW w:w="394"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453"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758"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968,873.57 </w:t>
            </w:r>
          </w:p>
        </w:tc>
        <w:tc>
          <w:tcPr>
            <w:tcW w:w="344"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758" w:type="pct"/>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814,520.98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657" w:type="pct"/>
            <w:tcBorders>
              <w:top w:val="single" w:color="auto" w:sz="12" w:space="0"/>
              <w:left w:val="nil"/>
              <w:bottom w:val="single" w:color="auto" w:sz="12" w:space="0"/>
              <w:right w:val="single" w:color="auto" w:sz="4" w:space="0"/>
            </w:tcBorders>
            <w:vAlign w:val="bottom"/>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合计</w:t>
            </w:r>
          </w:p>
        </w:tc>
        <w:tc>
          <w:tcPr>
            <w:tcW w:w="845"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3,082,670.01 </w:t>
            </w:r>
          </w:p>
        </w:tc>
        <w:tc>
          <w:tcPr>
            <w:tcW w:w="790"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2,542,351.41 </w:t>
            </w:r>
          </w:p>
        </w:tc>
        <w:tc>
          <w:tcPr>
            <w:tcW w:w="394"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w:t>
            </w:r>
          </w:p>
        </w:tc>
        <w:tc>
          <w:tcPr>
            <w:tcW w:w="453"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w:t>
            </w:r>
          </w:p>
        </w:tc>
        <w:tc>
          <w:tcPr>
            <w:tcW w:w="758"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1,914,737.23 </w:t>
            </w:r>
          </w:p>
        </w:tc>
        <w:tc>
          <w:tcPr>
            <w:tcW w:w="344"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w:t>
            </w:r>
          </w:p>
        </w:tc>
        <w:tc>
          <w:tcPr>
            <w:tcW w:w="758" w:type="pct"/>
            <w:tcBorders>
              <w:top w:val="single" w:color="auto" w:sz="12" w:space="0"/>
              <w:left w:val="single" w:color="auto" w:sz="4" w:space="0"/>
              <w:bottom w:val="single" w:color="auto" w:sz="12" w:space="0"/>
              <w:right w:val="nil"/>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3,710,284.19 </w:t>
            </w:r>
          </w:p>
        </w:tc>
      </w:tr>
    </w:tbl>
    <w:p>
      <w:pPr>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（续）</w:t>
      </w:r>
    </w:p>
    <w:tbl>
      <w:tblPr>
        <w:tblStyle w:val="9"/>
        <w:tblW w:w="0" w:type="auto"/>
        <w:tblInd w:w="31"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31" w:type="dxa"/>
          <w:bottom w:w="0" w:type="dxa"/>
          <w:right w:w="31" w:type="dxa"/>
        </w:tblCellMar>
      </w:tblPr>
      <w:tblGrid>
        <w:gridCol w:w="1410"/>
        <w:gridCol w:w="2196"/>
        <w:gridCol w:w="2523"/>
        <w:gridCol w:w="273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454" w:hRule="atLeast"/>
        </w:trPr>
        <w:tc>
          <w:tcPr>
            <w:tcW w:w="1410" w:type="dxa"/>
            <w:tcBorders>
              <w:top w:val="single" w:color="auto" w:sz="12" w:space="0"/>
              <w:bottom w:val="single" w:color="auto" w:sz="12" w:space="0"/>
              <w:right w:val="single" w:color="auto" w:sz="4" w:space="0"/>
            </w:tcBorders>
            <w:vAlign w:val="center"/>
          </w:tcPr>
          <w:p>
            <w:pPr>
              <w:jc w:val="center"/>
              <w:rPr>
                <w:b/>
                <w:color w:val="auto"/>
                <w:sz w:val="18"/>
                <w:szCs w:val="18"/>
              </w:rPr>
            </w:pPr>
            <w:r>
              <w:rPr>
                <w:rFonts w:hint="eastAsia"/>
                <w:b/>
                <w:color w:val="auto"/>
                <w:sz w:val="18"/>
                <w:szCs w:val="18"/>
              </w:rPr>
              <w:t>项目</w:t>
            </w:r>
          </w:p>
        </w:tc>
        <w:tc>
          <w:tcPr>
            <w:tcW w:w="2196" w:type="dxa"/>
            <w:tcBorders>
              <w:top w:val="single" w:color="auto" w:sz="12" w:space="0"/>
              <w:left w:val="single" w:color="auto" w:sz="4" w:space="0"/>
              <w:bottom w:val="single" w:color="auto" w:sz="12" w:space="0"/>
              <w:right w:val="single" w:color="auto" w:sz="4" w:space="0"/>
            </w:tcBorders>
            <w:vAlign w:val="center"/>
          </w:tcPr>
          <w:p>
            <w:pPr>
              <w:jc w:val="center"/>
              <w:rPr>
                <w:b/>
                <w:color w:val="auto"/>
                <w:sz w:val="18"/>
                <w:szCs w:val="18"/>
              </w:rPr>
            </w:pPr>
            <w:r>
              <w:rPr>
                <w:rFonts w:hint="eastAsia"/>
                <w:b/>
                <w:color w:val="auto"/>
                <w:kern w:val="0"/>
                <w:sz w:val="18"/>
                <w:szCs w:val="18"/>
              </w:rPr>
              <w:t>计提存货跌价准备的依据</w:t>
            </w:r>
          </w:p>
        </w:tc>
        <w:tc>
          <w:tcPr>
            <w:tcW w:w="2523" w:type="dxa"/>
            <w:tcBorders>
              <w:top w:val="single" w:color="auto" w:sz="12" w:space="0"/>
              <w:left w:val="single" w:color="auto" w:sz="4" w:space="0"/>
              <w:bottom w:val="single" w:color="auto" w:sz="12" w:space="0"/>
              <w:right w:val="single" w:color="auto" w:sz="4" w:space="0"/>
            </w:tcBorders>
            <w:vAlign w:val="center"/>
          </w:tcPr>
          <w:p>
            <w:pPr>
              <w:jc w:val="center"/>
              <w:rPr>
                <w:b/>
                <w:color w:val="auto"/>
                <w:sz w:val="18"/>
                <w:szCs w:val="18"/>
              </w:rPr>
            </w:pPr>
            <w:r>
              <w:rPr>
                <w:rFonts w:hint="eastAsia"/>
                <w:b/>
                <w:color w:val="auto"/>
                <w:kern w:val="0"/>
                <w:sz w:val="18"/>
                <w:szCs w:val="18"/>
              </w:rPr>
              <w:t>本期转回存货跌价准备的原因</w:t>
            </w:r>
          </w:p>
        </w:tc>
        <w:tc>
          <w:tcPr>
            <w:tcW w:w="2737" w:type="dxa"/>
            <w:tcBorders>
              <w:top w:val="single" w:color="auto" w:sz="12" w:space="0"/>
              <w:left w:val="single" w:color="auto" w:sz="4" w:space="0"/>
              <w:bottom w:val="single" w:color="auto" w:sz="12" w:space="0"/>
            </w:tcBorders>
            <w:vAlign w:val="center"/>
          </w:tcPr>
          <w:p>
            <w:pPr>
              <w:jc w:val="center"/>
              <w:rPr>
                <w:rFonts w:ascii="宋体" w:hAnsi="宋体" w:cs="宋体"/>
                <w:b/>
                <w:bCs/>
                <w:color w:val="auto"/>
                <w:sz w:val="18"/>
                <w:szCs w:val="18"/>
              </w:rPr>
            </w:pPr>
            <w:r>
              <w:rPr>
                <w:rFonts w:hint="eastAsia"/>
                <w:b/>
                <w:bCs/>
                <w:color w:val="auto"/>
                <w:sz w:val="18"/>
                <w:szCs w:val="18"/>
              </w:rPr>
              <w:t>本期转销存货跌价准备的原因</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1410" w:type="dxa"/>
            <w:tcBorders>
              <w:top w:val="single" w:color="auto" w:sz="12" w:space="0"/>
              <w:bottom w:val="single" w:color="auto" w:sz="4" w:space="0"/>
              <w:right w:val="single" w:color="auto" w:sz="4" w:space="0"/>
            </w:tcBorders>
            <w:vAlign w:val="bottom"/>
          </w:tcPr>
          <w:p>
            <w:pPr>
              <w:rPr>
                <w:rFonts w:ascii="宋体" w:hAnsi="宋体" w:cs="宋体"/>
                <w:color w:val="auto"/>
                <w:sz w:val="18"/>
                <w:szCs w:val="18"/>
              </w:rPr>
            </w:pPr>
            <w:r>
              <w:rPr>
                <w:rFonts w:hint="eastAsia"/>
                <w:color w:val="auto"/>
                <w:sz w:val="18"/>
                <w:szCs w:val="18"/>
              </w:rPr>
              <w:t>原材料</w:t>
            </w:r>
          </w:p>
        </w:tc>
        <w:tc>
          <w:tcPr>
            <w:tcW w:w="2196" w:type="dxa"/>
            <w:tcBorders>
              <w:top w:val="single" w:color="auto" w:sz="12" w:space="0"/>
              <w:left w:val="single" w:color="auto" w:sz="4" w:space="0"/>
              <w:bottom w:val="single" w:color="auto" w:sz="4" w:space="0"/>
              <w:right w:val="single" w:color="auto" w:sz="4" w:space="0"/>
            </w:tcBorders>
            <w:vAlign w:val="bottom"/>
          </w:tcPr>
          <w:p>
            <w:pPr>
              <w:jc w:val="center"/>
              <w:rPr>
                <w:rFonts w:ascii="宋体" w:hAnsi="宋体" w:cs="宋体"/>
                <w:color w:val="auto"/>
                <w:sz w:val="18"/>
                <w:szCs w:val="18"/>
              </w:rPr>
            </w:pPr>
            <w:r>
              <w:rPr>
                <w:rFonts w:hint="eastAsia"/>
                <w:color w:val="auto"/>
                <w:sz w:val="18"/>
                <w:szCs w:val="18"/>
              </w:rPr>
              <w:t>原材料的可变现净值低于原材料成本</w:t>
            </w:r>
          </w:p>
        </w:tc>
        <w:tc>
          <w:tcPr>
            <w:tcW w:w="2523" w:type="dxa"/>
            <w:tcBorders>
              <w:top w:val="single" w:color="auto" w:sz="12" w:space="0"/>
              <w:left w:val="single" w:color="auto" w:sz="4" w:space="0"/>
              <w:bottom w:val="single" w:color="auto" w:sz="4" w:space="0"/>
              <w:right w:val="single" w:color="auto" w:sz="4" w:space="0"/>
            </w:tcBorders>
            <w:vAlign w:val="bottom"/>
          </w:tcPr>
          <w:p>
            <w:pPr>
              <w:jc w:val="center"/>
              <w:rPr>
                <w:rFonts w:ascii="宋体" w:hAnsi="宋体" w:cs="宋体"/>
                <w:color w:val="auto"/>
                <w:sz w:val="18"/>
                <w:szCs w:val="18"/>
              </w:rPr>
            </w:pPr>
            <w:r>
              <w:rPr>
                <w:rFonts w:hint="eastAsia"/>
                <w:color w:val="auto"/>
                <w:sz w:val="18"/>
                <w:szCs w:val="18"/>
              </w:rPr>
              <w:t>本期无转回</w:t>
            </w:r>
          </w:p>
        </w:tc>
        <w:tc>
          <w:tcPr>
            <w:tcW w:w="2737" w:type="dxa"/>
            <w:tcBorders>
              <w:top w:val="single" w:color="auto" w:sz="12" w:space="0"/>
              <w:left w:val="single" w:color="auto" w:sz="4" w:space="0"/>
              <w:bottom w:val="single" w:color="auto" w:sz="4" w:space="0"/>
            </w:tcBorders>
            <w:vAlign w:val="bottom"/>
          </w:tcPr>
          <w:p>
            <w:pPr>
              <w:jc w:val="center"/>
              <w:rPr>
                <w:rFonts w:ascii="宋体" w:hAnsi="宋体" w:cs="宋体"/>
                <w:color w:val="auto"/>
                <w:sz w:val="18"/>
                <w:szCs w:val="18"/>
              </w:rPr>
            </w:pPr>
            <w:r>
              <w:rPr>
                <w:rFonts w:hint="eastAsia"/>
                <w:color w:val="auto"/>
                <w:sz w:val="18"/>
                <w:szCs w:val="18"/>
              </w:rPr>
              <w:t>本期生产完成并销售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454" w:hRule="atLeast"/>
        </w:trPr>
        <w:tc>
          <w:tcPr>
            <w:tcW w:w="1410" w:type="dxa"/>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color w:val="auto"/>
                <w:sz w:val="18"/>
                <w:szCs w:val="18"/>
              </w:rPr>
              <w:t>库存商品</w:t>
            </w:r>
          </w:p>
        </w:tc>
        <w:tc>
          <w:tcPr>
            <w:tcW w:w="2196"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18"/>
                <w:szCs w:val="18"/>
              </w:rPr>
            </w:pPr>
            <w:r>
              <w:rPr>
                <w:rFonts w:hint="eastAsia"/>
                <w:color w:val="auto"/>
                <w:sz w:val="18"/>
                <w:szCs w:val="18"/>
              </w:rPr>
              <w:t>库存商品的可变现净值低于库存商品成本</w:t>
            </w:r>
          </w:p>
        </w:tc>
        <w:tc>
          <w:tcPr>
            <w:tcW w:w="252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18"/>
                <w:szCs w:val="18"/>
              </w:rPr>
            </w:pPr>
            <w:r>
              <w:rPr>
                <w:rFonts w:hint="eastAsia"/>
                <w:color w:val="auto"/>
                <w:sz w:val="18"/>
                <w:szCs w:val="18"/>
              </w:rPr>
              <w:t>本期无转回</w:t>
            </w:r>
          </w:p>
        </w:tc>
        <w:tc>
          <w:tcPr>
            <w:tcW w:w="2737" w:type="dxa"/>
            <w:tcBorders>
              <w:top w:val="single" w:color="auto" w:sz="4" w:space="0"/>
              <w:left w:val="single" w:color="auto" w:sz="4" w:space="0"/>
              <w:bottom w:val="single" w:color="auto" w:sz="4" w:space="0"/>
            </w:tcBorders>
            <w:vAlign w:val="bottom"/>
          </w:tcPr>
          <w:p>
            <w:pPr>
              <w:jc w:val="center"/>
              <w:rPr>
                <w:rFonts w:ascii="宋体" w:hAnsi="宋体" w:cs="宋体"/>
                <w:color w:val="auto"/>
                <w:sz w:val="18"/>
                <w:szCs w:val="18"/>
              </w:rPr>
            </w:pPr>
            <w:r>
              <w:rPr>
                <w:rFonts w:hint="eastAsia"/>
                <w:color w:val="auto"/>
                <w:sz w:val="18"/>
                <w:szCs w:val="18"/>
              </w:rPr>
              <w:t>本期已销售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454" w:hRule="atLeast"/>
        </w:trPr>
        <w:tc>
          <w:tcPr>
            <w:tcW w:w="1410" w:type="dxa"/>
            <w:tcBorders>
              <w:top w:val="single" w:color="auto" w:sz="4" w:space="0"/>
              <w:bottom w:val="single" w:color="auto" w:sz="12" w:space="0"/>
              <w:right w:val="single" w:color="auto" w:sz="4" w:space="0"/>
            </w:tcBorders>
            <w:vAlign w:val="bottom"/>
          </w:tcPr>
          <w:p>
            <w:pPr>
              <w:rPr>
                <w:rFonts w:ascii="宋体" w:hAnsi="宋体" w:cs="宋体"/>
                <w:color w:val="auto"/>
                <w:sz w:val="18"/>
                <w:szCs w:val="18"/>
              </w:rPr>
            </w:pPr>
            <w:r>
              <w:rPr>
                <w:rFonts w:hint="eastAsia"/>
                <w:color w:val="auto"/>
                <w:sz w:val="18"/>
                <w:szCs w:val="18"/>
              </w:rPr>
              <w:t>自制半成品</w:t>
            </w:r>
          </w:p>
        </w:tc>
        <w:tc>
          <w:tcPr>
            <w:tcW w:w="2196" w:type="dxa"/>
            <w:tcBorders>
              <w:top w:val="single" w:color="auto" w:sz="4" w:space="0"/>
              <w:left w:val="single" w:color="auto" w:sz="4" w:space="0"/>
              <w:bottom w:val="single" w:color="auto" w:sz="12" w:space="0"/>
              <w:right w:val="single" w:color="auto" w:sz="4" w:space="0"/>
            </w:tcBorders>
            <w:vAlign w:val="bottom"/>
          </w:tcPr>
          <w:p>
            <w:pPr>
              <w:jc w:val="center"/>
              <w:rPr>
                <w:rFonts w:ascii="宋体" w:hAnsi="宋体" w:cs="宋体"/>
                <w:color w:val="auto"/>
                <w:sz w:val="18"/>
                <w:szCs w:val="18"/>
              </w:rPr>
            </w:pPr>
            <w:r>
              <w:rPr>
                <w:rFonts w:hint="eastAsia"/>
                <w:color w:val="auto"/>
                <w:sz w:val="18"/>
                <w:szCs w:val="18"/>
              </w:rPr>
              <w:t>自制半成品的可变现净值低于自制半成品成本</w:t>
            </w:r>
          </w:p>
        </w:tc>
        <w:tc>
          <w:tcPr>
            <w:tcW w:w="2523" w:type="dxa"/>
            <w:tcBorders>
              <w:top w:val="single" w:color="auto" w:sz="4" w:space="0"/>
              <w:left w:val="single" w:color="auto" w:sz="4" w:space="0"/>
              <w:bottom w:val="single" w:color="auto" w:sz="12" w:space="0"/>
              <w:right w:val="single" w:color="auto" w:sz="4" w:space="0"/>
            </w:tcBorders>
            <w:vAlign w:val="bottom"/>
          </w:tcPr>
          <w:p>
            <w:pPr>
              <w:jc w:val="center"/>
              <w:rPr>
                <w:rFonts w:ascii="宋体" w:hAnsi="宋体" w:cs="宋体"/>
                <w:color w:val="auto"/>
                <w:sz w:val="18"/>
                <w:szCs w:val="18"/>
              </w:rPr>
            </w:pPr>
            <w:r>
              <w:rPr>
                <w:rFonts w:hint="eastAsia"/>
                <w:color w:val="auto"/>
                <w:sz w:val="18"/>
                <w:szCs w:val="18"/>
              </w:rPr>
              <w:t>本期无转回</w:t>
            </w:r>
          </w:p>
        </w:tc>
        <w:tc>
          <w:tcPr>
            <w:tcW w:w="2737" w:type="dxa"/>
            <w:tcBorders>
              <w:top w:val="single" w:color="auto" w:sz="4" w:space="0"/>
              <w:left w:val="single" w:color="auto" w:sz="4" w:space="0"/>
              <w:bottom w:val="single" w:color="auto" w:sz="12" w:space="0"/>
            </w:tcBorders>
            <w:vAlign w:val="bottom"/>
          </w:tcPr>
          <w:p>
            <w:pPr>
              <w:jc w:val="center"/>
              <w:rPr>
                <w:rFonts w:ascii="宋体" w:hAnsi="宋体" w:cs="宋体"/>
                <w:color w:val="auto"/>
                <w:sz w:val="18"/>
                <w:szCs w:val="18"/>
              </w:rPr>
            </w:pPr>
            <w:r>
              <w:rPr>
                <w:rFonts w:hint="eastAsia"/>
                <w:color w:val="auto"/>
                <w:sz w:val="18"/>
                <w:szCs w:val="18"/>
              </w:rPr>
              <w:t>本期生产完成并销售</w:t>
            </w:r>
          </w:p>
        </w:tc>
      </w:tr>
    </w:tbl>
    <w:p>
      <w:pPr>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（3）报告期末存货余额中无利息资本化金额。</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9、其他流动资产</w:t>
      </w:r>
    </w:p>
    <w:p>
      <w:pPr>
        <w:ind w:firstLine="420" w:firstLineChars="200"/>
        <w:rPr>
          <w:color w:val="auto"/>
        </w:rPr>
      </w:pPr>
      <w:r>
        <w:rPr>
          <w:rFonts w:hint="eastAsia"/>
          <w:color w:val="auto"/>
        </w:rPr>
        <w:t>（1）明细项目</w:t>
      </w:r>
    </w:p>
    <w:tbl>
      <w:tblPr>
        <w:tblStyle w:val="9"/>
        <w:tblW w:w="4835" w:type="pct"/>
        <w:tblCaption w:val="&quot;\\lisheng\共享\1、伟隆2022年度审计\1、2022年度审计\1、附注及报告\2022年\附注计算-伟隆 - 2022.xlsx&quot; &quot;2022附注格式!_ReportTable_0035&quot;"/>
        <w:tblDescription w:val="A206:C211"/>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9"/>
        <w:gridCol w:w="3179"/>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663" w:type="pct"/>
            <w:tcBorders>
              <w:top w:val="single" w:color="auto" w:sz="12" w:space="0"/>
              <w:left w:val="nil"/>
              <w:bottom w:val="single" w:color="auto" w:sz="12" w:space="0"/>
              <w:right w:val="single" w:color="auto" w:sz="4" w:space="0"/>
            </w:tcBorders>
            <w:vAlign w:val="center"/>
          </w:tcPr>
          <w:p>
            <w:pPr>
              <w:jc w:val="center"/>
              <w:rPr>
                <w:rFonts w:ascii="宋体" w:hAnsi="宋体" w:cs="宋体"/>
                <w:b/>
                <w:color w:val="auto"/>
                <w:sz w:val="18"/>
                <w:szCs w:val="18"/>
              </w:rPr>
            </w:pPr>
            <w:r>
              <w:rPr>
                <w:rFonts w:hint="eastAsia"/>
                <w:b/>
                <w:color w:val="auto"/>
                <w:sz w:val="18"/>
                <w:szCs w:val="18"/>
              </w:rPr>
              <w:t>项  目</w:t>
            </w:r>
          </w:p>
        </w:tc>
        <w:tc>
          <w:tcPr>
            <w:tcW w:w="1668"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cs="宋体"/>
                <w:b/>
                <w:color w:val="auto"/>
                <w:sz w:val="18"/>
                <w:szCs w:val="18"/>
              </w:rPr>
            </w:pPr>
            <w:r>
              <w:rPr>
                <w:rFonts w:hint="eastAsia" w:ascii="宋体" w:hAnsi="宋体"/>
                <w:b/>
                <w:color w:val="auto"/>
                <w:sz w:val="18"/>
                <w:szCs w:val="18"/>
              </w:rPr>
              <w:t>期末余额</w:t>
            </w:r>
          </w:p>
        </w:tc>
        <w:tc>
          <w:tcPr>
            <w:tcW w:w="1669" w:type="pct"/>
            <w:tcBorders>
              <w:top w:val="single" w:color="auto" w:sz="12" w:space="0"/>
              <w:left w:val="single" w:color="auto" w:sz="4" w:space="0"/>
              <w:bottom w:val="single" w:color="auto" w:sz="12" w:space="0"/>
              <w:right w:val="nil"/>
            </w:tcBorders>
            <w:vAlign w:val="center"/>
          </w:tcPr>
          <w:p>
            <w:pPr>
              <w:jc w:val="center"/>
              <w:rPr>
                <w:rFonts w:ascii="宋体" w:hAnsi="宋体" w:cs="宋体"/>
                <w:b/>
                <w:color w:val="auto"/>
                <w:sz w:val="18"/>
                <w:szCs w:val="18"/>
              </w:rPr>
            </w:pPr>
            <w:r>
              <w:rPr>
                <w:rFonts w:hint="eastAsia" w:ascii="宋体" w:hAnsi="宋体"/>
                <w:b/>
                <w:color w:val="auto"/>
                <w:sz w:val="18"/>
                <w:szCs w:val="18"/>
              </w:rPr>
              <w:t>期初余额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3" w:type="pct"/>
            <w:tcBorders>
              <w:top w:val="single" w:color="auto" w:sz="12" w:space="0"/>
              <w:left w:val="nil"/>
              <w:bottom w:val="single" w:color="auto" w:sz="4" w:space="0"/>
              <w:right w:val="single" w:color="auto" w:sz="4" w:space="0"/>
            </w:tcBorders>
            <w:vAlign w:val="bottom"/>
          </w:tcPr>
          <w:p>
            <w:pPr>
              <w:rPr>
                <w:color w:val="auto"/>
                <w:sz w:val="18"/>
                <w:szCs w:val="18"/>
              </w:rPr>
            </w:pPr>
            <w:r>
              <w:rPr>
                <w:rFonts w:hint="eastAsia"/>
                <w:color w:val="auto"/>
                <w:sz w:val="18"/>
                <w:szCs w:val="18"/>
              </w:rPr>
              <w:t>预缴所得税</w:t>
            </w:r>
          </w:p>
        </w:tc>
        <w:tc>
          <w:tcPr>
            <w:tcW w:w="1668" w:type="pct"/>
            <w:tcBorders>
              <w:top w:val="single" w:color="auto" w:sz="12"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856.68</w:t>
            </w:r>
          </w:p>
        </w:tc>
        <w:tc>
          <w:tcPr>
            <w:tcW w:w="1669" w:type="pct"/>
            <w:tcBorders>
              <w:top w:val="single" w:color="auto" w:sz="12"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63" w:type="pct"/>
            <w:tcBorders>
              <w:top w:val="single" w:color="auto" w:sz="4" w:space="0"/>
              <w:left w:val="nil"/>
              <w:bottom w:val="single" w:color="auto" w:sz="4" w:space="0"/>
              <w:right w:val="single" w:color="auto" w:sz="4" w:space="0"/>
            </w:tcBorders>
            <w:vAlign w:val="bottom"/>
          </w:tcPr>
          <w:p>
            <w:pPr>
              <w:rPr>
                <w:color w:val="auto"/>
                <w:sz w:val="18"/>
                <w:szCs w:val="18"/>
              </w:rPr>
            </w:pPr>
            <w:r>
              <w:rPr>
                <w:rFonts w:hint="eastAsia"/>
                <w:color w:val="auto"/>
                <w:sz w:val="18"/>
                <w:szCs w:val="18"/>
              </w:rPr>
              <w:t>待抵扣增值税</w:t>
            </w:r>
          </w:p>
        </w:tc>
        <w:tc>
          <w:tcPr>
            <w:tcW w:w="166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1,757,787.04</w:t>
            </w:r>
          </w:p>
        </w:tc>
        <w:tc>
          <w:tcPr>
            <w:tcW w:w="1669" w:type="pct"/>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1,108,201.67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663" w:type="pct"/>
            <w:tcBorders>
              <w:top w:val="single" w:color="auto" w:sz="4" w:space="0"/>
              <w:left w:val="nil"/>
              <w:bottom w:val="single" w:color="auto" w:sz="4" w:space="0"/>
              <w:right w:val="single" w:color="auto" w:sz="4" w:space="0"/>
            </w:tcBorders>
            <w:vAlign w:val="bottom"/>
          </w:tcPr>
          <w:p>
            <w:pPr>
              <w:rPr>
                <w:color w:val="auto"/>
                <w:sz w:val="18"/>
                <w:szCs w:val="18"/>
              </w:rPr>
            </w:pPr>
            <w:r>
              <w:rPr>
                <w:rFonts w:hint="eastAsia"/>
                <w:color w:val="auto"/>
                <w:sz w:val="18"/>
                <w:szCs w:val="18"/>
              </w:rPr>
              <w:t>待摊的财产保险费</w:t>
            </w:r>
          </w:p>
        </w:tc>
        <w:tc>
          <w:tcPr>
            <w:tcW w:w="166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140,725.05</w:t>
            </w:r>
          </w:p>
        </w:tc>
        <w:tc>
          <w:tcPr>
            <w:tcW w:w="1669" w:type="pct"/>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136,501.88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663" w:type="pct"/>
            <w:tcBorders>
              <w:top w:val="single" w:color="auto" w:sz="4" w:space="0"/>
              <w:left w:val="nil"/>
              <w:bottom w:val="single" w:color="auto" w:sz="4" w:space="0"/>
              <w:right w:val="single" w:color="auto" w:sz="4" w:space="0"/>
            </w:tcBorders>
            <w:vAlign w:val="bottom"/>
          </w:tcPr>
          <w:p>
            <w:pPr>
              <w:jc w:val="left"/>
              <w:rPr>
                <w:color w:val="auto"/>
                <w:sz w:val="18"/>
                <w:szCs w:val="18"/>
              </w:rPr>
            </w:pPr>
            <w:r>
              <w:rPr>
                <w:rFonts w:hint="eastAsia"/>
                <w:color w:val="auto"/>
                <w:sz w:val="18"/>
                <w:szCs w:val="18"/>
              </w:rPr>
              <w:t>已经到期未到账的银行理财产品</w:t>
            </w:r>
          </w:p>
        </w:tc>
        <w:tc>
          <w:tcPr>
            <w:tcW w:w="166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669" w:type="pct"/>
            <w:tcBorders>
              <w:top w:val="single" w:color="auto" w:sz="4" w:space="0"/>
              <w:left w:val="single" w:color="auto" w:sz="4" w:space="0"/>
              <w:bottom w:val="single" w:color="auto" w:sz="4" w:space="0"/>
              <w:right w:val="nil"/>
            </w:tcBorders>
            <w:vAlign w:val="bottom"/>
          </w:tcPr>
          <w:p>
            <w:pPr>
              <w:jc w:val="right"/>
              <w:rPr>
                <w:rFonts w:ascii="宋体" w:hAnsi="宋体" w:cs="宋体"/>
                <w:color w:val="auto"/>
                <w:kern w:val="0"/>
                <w:sz w:val="18"/>
                <w:szCs w:val="18"/>
              </w:rPr>
            </w:pPr>
            <w:r>
              <w:rPr>
                <w:rFonts w:ascii="宋体" w:hAnsi="宋体" w:cs="宋体"/>
                <w:color w:val="auto"/>
                <w:kern w:val="0"/>
                <w:sz w:val="18"/>
                <w:szCs w:val="18"/>
              </w:rPr>
              <w:t>27,220,011.38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663" w:type="pct"/>
            <w:tcBorders>
              <w:top w:val="single" w:color="auto" w:sz="4" w:space="0"/>
              <w:left w:val="nil"/>
              <w:bottom w:val="single" w:color="auto" w:sz="12" w:space="0"/>
              <w:right w:val="single" w:color="auto" w:sz="4" w:space="0"/>
            </w:tcBorders>
            <w:vAlign w:val="bottom"/>
          </w:tcPr>
          <w:p>
            <w:pPr>
              <w:jc w:val="left"/>
              <w:rPr>
                <w:color w:val="auto"/>
                <w:sz w:val="18"/>
                <w:szCs w:val="18"/>
              </w:rPr>
            </w:pPr>
            <w:r>
              <w:rPr>
                <w:rFonts w:hint="eastAsia"/>
                <w:color w:val="auto"/>
                <w:sz w:val="18"/>
                <w:szCs w:val="18"/>
              </w:rPr>
              <w:t>大额存单理财</w:t>
            </w:r>
          </w:p>
        </w:tc>
        <w:tc>
          <w:tcPr>
            <w:tcW w:w="1668" w:type="pct"/>
            <w:tcBorders>
              <w:top w:val="single" w:color="auto" w:sz="4"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60,767,676.64</w:t>
            </w:r>
          </w:p>
        </w:tc>
        <w:tc>
          <w:tcPr>
            <w:tcW w:w="1669" w:type="pct"/>
            <w:tcBorders>
              <w:top w:val="single" w:color="auto" w:sz="4" w:space="0"/>
              <w:left w:val="single" w:color="auto" w:sz="4" w:space="0"/>
              <w:bottom w:val="single" w:color="auto" w:sz="12" w:space="0"/>
              <w:right w:val="nil"/>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60,066,366.64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663" w:type="pct"/>
            <w:tcBorders>
              <w:top w:val="single" w:color="auto" w:sz="12" w:space="0"/>
              <w:left w:val="nil"/>
              <w:bottom w:val="single" w:color="auto" w:sz="12" w:space="0"/>
              <w:right w:val="single" w:color="auto" w:sz="4" w:space="0"/>
            </w:tcBorders>
            <w:vAlign w:val="bottom"/>
          </w:tcPr>
          <w:p>
            <w:pPr>
              <w:jc w:val="center"/>
              <w:rPr>
                <w:rFonts w:ascii="宋体" w:hAnsi="宋体" w:cs="宋体"/>
                <w:b/>
                <w:color w:val="auto"/>
                <w:sz w:val="18"/>
                <w:szCs w:val="18"/>
              </w:rPr>
            </w:pPr>
            <w:r>
              <w:rPr>
                <w:rFonts w:hint="eastAsia"/>
                <w:b/>
                <w:color w:val="auto"/>
                <w:sz w:val="18"/>
                <w:szCs w:val="18"/>
              </w:rPr>
              <w:t>合计</w:t>
            </w:r>
          </w:p>
        </w:tc>
        <w:tc>
          <w:tcPr>
            <w:tcW w:w="1668" w:type="pct"/>
            <w:tcBorders>
              <w:top w:val="single" w:color="auto" w:sz="12"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62,667,045.41</w:t>
            </w:r>
          </w:p>
        </w:tc>
        <w:tc>
          <w:tcPr>
            <w:tcW w:w="1669" w:type="pct"/>
            <w:tcBorders>
              <w:top w:val="single" w:color="auto" w:sz="12" w:space="0"/>
              <w:left w:val="single" w:color="auto" w:sz="4" w:space="0"/>
              <w:bottom w:val="single" w:color="auto" w:sz="12" w:space="0"/>
              <w:right w:val="nil"/>
            </w:tcBorders>
            <w:vAlign w:val="bottom"/>
          </w:tcPr>
          <w:p>
            <w:pPr>
              <w:jc w:val="right"/>
              <w:rPr>
                <w:rFonts w:cs="宋体" w:asciiTheme="minorEastAsia" w:hAnsiTheme="minorEastAsia" w:eastAsiaTheme="minorEastAsia"/>
                <w:b/>
                <w:bCs/>
                <w:color w:val="auto"/>
                <w:sz w:val="18"/>
                <w:szCs w:val="18"/>
              </w:rPr>
            </w:pPr>
            <w:r>
              <w:rPr>
                <w:rFonts w:ascii="宋体" w:hAnsi="宋体" w:cs="宋体"/>
                <w:b/>
                <w:bCs/>
                <w:color w:val="auto"/>
                <w:kern w:val="0"/>
                <w:sz w:val="18"/>
                <w:szCs w:val="18"/>
              </w:rPr>
              <w:t xml:space="preserve">88,531,081.57 </w:t>
            </w:r>
          </w:p>
        </w:tc>
      </w:tr>
    </w:tbl>
    <w:p>
      <w:pPr>
        <w:pStyle w:val="5"/>
        <w:spacing w:before="150" w:beforeLines="50" w:after="150" w:afterLines="50" w:line="360" w:lineRule="auto"/>
        <w:ind w:firstLine="420" w:firstLineChars="200"/>
        <w:rPr>
          <w:rFonts w:ascii="宋体" w:hAnsi="宋体" w:eastAsia="宋体"/>
          <w:b/>
          <w:color w:val="auto"/>
          <w:sz w:val="24"/>
          <w:szCs w:val="24"/>
        </w:rPr>
      </w:pPr>
      <w:r>
        <w:rPr>
          <w:rFonts w:hint="eastAsia" w:ascii="宋体" w:hAnsi="宋体" w:eastAsia="宋体"/>
          <w:color w:val="auto"/>
        </w:rPr>
        <w:t>（2）大额定期存单质押情况详见附注五、51所有权或使用权受到限制的资产明细。</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10、债权投资</w:t>
      </w:r>
    </w:p>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（1）债权投资情况</w:t>
      </w:r>
    </w:p>
    <w:tbl>
      <w:tblPr>
        <w:tblStyle w:val="9"/>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31" w:type="dxa"/>
          <w:bottom w:w="0" w:type="dxa"/>
          <w:right w:w="31" w:type="dxa"/>
        </w:tblCellMar>
      </w:tblPr>
      <w:tblGrid>
        <w:gridCol w:w="1057"/>
        <w:gridCol w:w="1509"/>
        <w:gridCol w:w="1304"/>
        <w:gridCol w:w="1509"/>
        <w:gridCol w:w="1509"/>
        <w:gridCol w:w="1304"/>
        <w:gridCol w:w="15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54" w:hRule="atLeast"/>
        </w:trPr>
        <w:tc>
          <w:tcPr>
            <w:tcW w:w="545" w:type="pct"/>
            <w:vMerge w:val="restart"/>
            <w:tcBorders>
              <w:top w:val="single" w:color="auto" w:sz="12" w:space="0"/>
              <w:left w:val="nil"/>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项</w:t>
            </w:r>
            <w:r>
              <w:rPr>
                <w:rFonts w:ascii="宋体" w:hAnsi="宋体"/>
                <w:b/>
                <w:color w:val="auto"/>
                <w:sz w:val="18"/>
                <w:szCs w:val="18"/>
              </w:rPr>
              <w:t>目</w:t>
            </w:r>
          </w:p>
        </w:tc>
        <w:tc>
          <w:tcPr>
            <w:tcW w:w="2228" w:type="pct"/>
            <w:gridSpan w:val="3"/>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期末余额</w:t>
            </w:r>
          </w:p>
        </w:tc>
        <w:tc>
          <w:tcPr>
            <w:tcW w:w="2227" w:type="pct"/>
            <w:gridSpan w:val="3"/>
            <w:tcBorders>
              <w:top w:val="single" w:color="auto" w:sz="12" w:space="0"/>
              <w:left w:val="single" w:color="auto" w:sz="4" w:space="0"/>
              <w:bottom w:val="single" w:color="auto" w:sz="4" w:space="0"/>
              <w:right w:val="nil"/>
            </w:tcBorders>
            <w:vAlign w:val="center"/>
          </w:tcPr>
          <w:p>
            <w:pPr>
              <w:jc w:val="center"/>
              <w:rPr>
                <w:rFonts w:ascii="宋体" w:hAnsi="宋体"/>
                <w:b/>
                <w:color w:val="auto"/>
                <w:sz w:val="18"/>
                <w:szCs w:val="18"/>
              </w:rPr>
            </w:pPr>
            <w:r>
              <w:rPr>
                <w:rFonts w:hint="eastAsia" w:ascii="宋体" w:hAnsi="宋体"/>
                <w:b/>
                <w:color w:val="auto"/>
                <w:sz w:val="18"/>
                <w:szCs w:val="18"/>
              </w:rPr>
              <w:t>期初余额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0" w:type="auto"/>
            <w:vMerge w:val="continue"/>
            <w:tcBorders>
              <w:top w:val="single" w:color="auto" w:sz="12" w:space="0"/>
              <w:left w:val="nil"/>
              <w:bottom w:val="single" w:color="auto" w:sz="12" w:space="0"/>
              <w:right w:val="single" w:color="auto" w:sz="4" w:space="0"/>
            </w:tcBorders>
            <w:vAlign w:val="center"/>
          </w:tcPr>
          <w:p>
            <w:pPr>
              <w:widowControl/>
              <w:jc w:val="left"/>
              <w:rPr>
                <w:rFonts w:ascii="宋体" w:hAnsi="宋体"/>
                <w:b/>
                <w:color w:val="auto"/>
                <w:sz w:val="18"/>
                <w:szCs w:val="18"/>
              </w:rPr>
            </w:pPr>
          </w:p>
        </w:tc>
        <w:tc>
          <w:tcPr>
            <w:tcW w:w="778"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账面余额</w:t>
            </w:r>
          </w:p>
        </w:tc>
        <w:tc>
          <w:tcPr>
            <w:tcW w:w="672"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减值准备</w:t>
            </w:r>
          </w:p>
        </w:tc>
        <w:tc>
          <w:tcPr>
            <w:tcW w:w="778"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账面价值</w:t>
            </w:r>
          </w:p>
        </w:tc>
        <w:tc>
          <w:tcPr>
            <w:tcW w:w="778"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账面余额</w:t>
            </w:r>
          </w:p>
        </w:tc>
        <w:tc>
          <w:tcPr>
            <w:tcW w:w="672"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减值准备</w:t>
            </w:r>
          </w:p>
        </w:tc>
        <w:tc>
          <w:tcPr>
            <w:tcW w:w="777" w:type="pct"/>
            <w:tcBorders>
              <w:top w:val="single" w:color="auto" w:sz="4" w:space="0"/>
              <w:left w:val="single" w:color="auto" w:sz="4" w:space="0"/>
              <w:bottom w:val="single" w:color="auto" w:sz="12" w:space="0"/>
              <w:right w:val="nil"/>
            </w:tcBorders>
            <w:vAlign w:val="center"/>
          </w:tcPr>
          <w:p>
            <w:pPr>
              <w:jc w:val="center"/>
              <w:rPr>
                <w:rFonts w:ascii="宋体" w:hAnsi="宋体"/>
                <w:b/>
                <w:color w:val="auto"/>
                <w:sz w:val="18"/>
                <w:szCs w:val="18"/>
              </w:rPr>
            </w:pPr>
            <w:r>
              <w:rPr>
                <w:rFonts w:hint="eastAsia" w:ascii="宋体" w:hAnsi="宋体"/>
                <w:b/>
                <w:color w:val="auto"/>
                <w:sz w:val="18"/>
                <w:szCs w:val="18"/>
              </w:rPr>
              <w:t>账面价值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545" w:type="pct"/>
            <w:tcBorders>
              <w:top w:val="single" w:color="auto" w:sz="12" w:space="0"/>
              <w:left w:val="nil"/>
              <w:bottom w:val="single" w:color="auto" w:sz="4" w:space="0"/>
              <w:right w:val="single" w:color="auto" w:sz="4" w:space="0"/>
            </w:tcBorders>
            <w:vAlign w:val="bottom"/>
          </w:tcPr>
          <w:p>
            <w:pPr>
              <w:rPr>
                <w:rFonts w:ascii="宋体" w:hAnsi="宋体" w:cs="宋体"/>
                <w:color w:val="auto"/>
                <w:sz w:val="15"/>
                <w:szCs w:val="15"/>
              </w:rPr>
            </w:pPr>
            <w:r>
              <w:rPr>
                <w:rFonts w:ascii="宋体" w:hAnsi="宋体" w:cs="宋体"/>
                <w:color w:val="auto"/>
                <w:sz w:val="15"/>
                <w:szCs w:val="15"/>
              </w:rPr>
              <w:t>三年定期存单</w:t>
            </w:r>
          </w:p>
        </w:tc>
        <w:tc>
          <w:tcPr>
            <w:tcW w:w="778"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10,092,534.25</w:t>
            </w:r>
          </w:p>
        </w:tc>
        <w:tc>
          <w:tcPr>
            <w:tcW w:w="672"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778"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10,092,534.25</w:t>
            </w:r>
          </w:p>
        </w:tc>
        <w:tc>
          <w:tcPr>
            <w:tcW w:w="778"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672"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777" w:type="pct"/>
            <w:tcBorders>
              <w:top w:val="single" w:color="auto" w:sz="12" w:space="0"/>
              <w:left w:val="single" w:color="auto" w:sz="4" w:space="0"/>
              <w:bottom w:val="single" w:color="auto" w:sz="4" w:space="0"/>
              <w:right w:val="nil"/>
            </w:tcBorders>
            <w:vAlign w:val="bottom"/>
          </w:tcPr>
          <w:p>
            <w:pPr>
              <w:jc w:val="right"/>
              <w:rPr>
                <w:rFonts w:ascii="宋体" w:hAnsi="宋体" w:cs="宋体"/>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545" w:type="pct"/>
            <w:tcBorders>
              <w:top w:val="single" w:color="auto" w:sz="12" w:space="0"/>
              <w:left w:val="nil"/>
              <w:bottom w:val="single" w:color="auto" w:sz="12" w:space="0"/>
              <w:right w:val="single" w:color="auto" w:sz="4" w:space="0"/>
            </w:tcBorders>
            <w:vAlign w:val="bottom"/>
          </w:tcPr>
          <w:p>
            <w:pPr>
              <w:jc w:val="center"/>
              <w:rPr>
                <w:rFonts w:ascii="宋体" w:hAnsi="宋体"/>
                <w:b/>
                <w:color w:val="auto"/>
                <w:sz w:val="15"/>
                <w:szCs w:val="15"/>
              </w:rPr>
            </w:pPr>
            <w:r>
              <w:rPr>
                <w:rFonts w:hint="eastAsia" w:ascii="宋体" w:hAnsi="宋体"/>
                <w:b/>
                <w:color w:val="auto"/>
                <w:sz w:val="15"/>
                <w:szCs w:val="15"/>
              </w:rPr>
              <w:t>合计</w:t>
            </w:r>
          </w:p>
        </w:tc>
        <w:tc>
          <w:tcPr>
            <w:tcW w:w="778"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10,092,534.25</w:t>
            </w:r>
          </w:p>
        </w:tc>
        <w:tc>
          <w:tcPr>
            <w:tcW w:w="672"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p>
        </w:tc>
        <w:tc>
          <w:tcPr>
            <w:tcW w:w="778"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10,092,534.25</w:t>
            </w:r>
          </w:p>
        </w:tc>
        <w:tc>
          <w:tcPr>
            <w:tcW w:w="778" w:type="pct"/>
            <w:tcBorders>
              <w:top w:val="single" w:color="auto" w:sz="12" w:space="0"/>
              <w:left w:val="single" w:color="auto" w:sz="4" w:space="0"/>
              <w:bottom w:val="single" w:color="auto" w:sz="12" w:space="0"/>
              <w:right w:val="single" w:color="auto" w:sz="4" w:space="0"/>
            </w:tcBorders>
            <w:vAlign w:val="bottom"/>
          </w:tcPr>
          <w:p>
            <w:pPr>
              <w:jc w:val="right"/>
              <w:rPr>
                <w:rFonts w:ascii="宋体" w:hAnsi="宋体" w:cs="宋体"/>
                <w:b/>
                <w:bCs/>
                <w:color w:val="auto"/>
                <w:sz w:val="18"/>
                <w:szCs w:val="18"/>
              </w:rPr>
            </w:pPr>
          </w:p>
        </w:tc>
        <w:tc>
          <w:tcPr>
            <w:tcW w:w="672" w:type="pct"/>
            <w:tcBorders>
              <w:top w:val="single" w:color="auto" w:sz="12" w:space="0"/>
              <w:left w:val="single" w:color="auto" w:sz="4" w:space="0"/>
              <w:bottom w:val="single" w:color="auto" w:sz="12" w:space="0"/>
              <w:right w:val="single" w:color="auto" w:sz="4" w:space="0"/>
            </w:tcBorders>
            <w:vAlign w:val="bottom"/>
          </w:tcPr>
          <w:p>
            <w:pPr>
              <w:jc w:val="right"/>
              <w:rPr>
                <w:rFonts w:ascii="宋体" w:hAnsi="宋体" w:cs="宋体"/>
                <w:b/>
                <w:bCs/>
                <w:color w:val="auto"/>
                <w:sz w:val="18"/>
                <w:szCs w:val="18"/>
              </w:rPr>
            </w:pPr>
          </w:p>
        </w:tc>
        <w:tc>
          <w:tcPr>
            <w:tcW w:w="777" w:type="pct"/>
            <w:tcBorders>
              <w:top w:val="single" w:color="auto" w:sz="12" w:space="0"/>
              <w:left w:val="single" w:color="auto" w:sz="4" w:space="0"/>
              <w:bottom w:val="single" w:color="auto" w:sz="12" w:space="0"/>
              <w:right w:val="nil"/>
            </w:tcBorders>
            <w:vAlign w:val="bottom"/>
          </w:tcPr>
          <w:p>
            <w:pPr>
              <w:jc w:val="right"/>
              <w:rPr>
                <w:rFonts w:ascii="宋体" w:hAnsi="宋体" w:cs="宋体"/>
                <w:b/>
                <w:bCs/>
                <w:color w:val="auto"/>
                <w:sz w:val="18"/>
                <w:szCs w:val="18"/>
              </w:rPr>
            </w:pPr>
          </w:p>
        </w:tc>
      </w:tr>
    </w:tbl>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（2）</w:t>
      </w:r>
      <w:r>
        <w:rPr>
          <w:rFonts w:ascii="宋体" w:hAnsi="宋体"/>
          <w:color w:val="auto"/>
          <w:szCs w:val="21"/>
        </w:rPr>
        <w:t>期末重要的债权投资</w:t>
      </w:r>
      <w:r>
        <w:rPr>
          <w:rFonts w:hint="eastAsia" w:ascii="宋体" w:hAnsi="宋体"/>
          <w:color w:val="auto"/>
          <w:szCs w:val="21"/>
        </w:rPr>
        <w:tab/>
      </w:r>
    </w:p>
    <w:p>
      <w:pPr>
        <w:spacing w:before="150" w:beforeLines="50" w:after="150" w:afterLines="50" w:line="360" w:lineRule="auto"/>
        <w:ind w:firstLine="420" w:firstLineChars="200"/>
        <w:rPr>
          <w:rFonts w:ascii="宋体" w:hAnsi="宋体"/>
          <w:color w:val="auto"/>
          <w:szCs w:val="21"/>
        </w:rPr>
      </w:pPr>
    </w:p>
    <w:tbl>
      <w:tblPr>
        <w:tblStyle w:val="9"/>
        <w:tblW w:w="9570" w:type="dxa"/>
        <w:tblInd w:w="28" w:type="dxa"/>
        <w:tblBorders>
          <w:top w:val="single" w:color="auto" w:sz="12" w:space="0"/>
          <w:left w:val="none" w:color="auto" w:sz="0" w:space="0"/>
          <w:bottom w:val="single" w:color="auto" w:sz="12" w:space="0"/>
          <w:right w:val="none" w:color="auto" w:sz="0" w:space="0"/>
          <w:insideH w:val="single" w:color="auto" w:sz="12" w:space="0"/>
          <w:insideV w:val="single" w:color="auto" w:sz="8" w:space="0"/>
        </w:tblBorders>
        <w:tblLayout w:type="fixed"/>
        <w:tblCellMar>
          <w:top w:w="0" w:type="dxa"/>
          <w:left w:w="28" w:type="dxa"/>
          <w:bottom w:w="0" w:type="dxa"/>
          <w:right w:w="28" w:type="dxa"/>
        </w:tblCellMar>
      </w:tblPr>
      <w:tblGrid>
        <w:gridCol w:w="1916"/>
        <w:gridCol w:w="957"/>
        <w:gridCol w:w="958"/>
        <w:gridCol w:w="956"/>
        <w:gridCol w:w="957"/>
        <w:gridCol w:w="956"/>
        <w:gridCol w:w="957"/>
        <w:gridCol w:w="956"/>
        <w:gridCol w:w="957"/>
      </w:tblGrid>
      <w:tr>
        <w:tblPrEx>
          <w:tblBorders>
            <w:top w:val="single" w:color="auto" w:sz="12" w:space="0"/>
            <w:left w:val="none" w:color="auto" w:sz="0" w:space="0"/>
            <w:bottom w:val="single" w:color="auto" w:sz="12" w:space="0"/>
            <w:right w:val="none" w:color="auto" w:sz="0" w:space="0"/>
            <w:insideH w:val="single" w:color="auto" w:sz="12" w:space="0"/>
            <w:insideV w:val="single" w:color="auto" w:sz="8" w:space="0"/>
          </w:tblBorders>
          <w:tblCellMar>
            <w:top w:w="0" w:type="dxa"/>
            <w:left w:w="28" w:type="dxa"/>
            <w:bottom w:w="0" w:type="dxa"/>
            <w:right w:w="28" w:type="dxa"/>
          </w:tblCellMar>
        </w:tblPrEx>
        <w:trPr>
          <w:trHeight w:val="397" w:hRule="atLeast"/>
        </w:trPr>
        <w:tc>
          <w:tcPr>
            <w:tcW w:w="1916" w:type="dxa"/>
            <w:vMerge w:val="restart"/>
            <w:tcBorders>
              <w:bottom w:val="single" w:color="auto" w:sz="4" w:space="0"/>
            </w:tcBorders>
            <w:vAlign w:val="center"/>
          </w:tcPr>
          <w:p>
            <w:pPr>
              <w:jc w:val="center"/>
              <w:rPr>
                <w:b/>
                <w:color w:val="auto"/>
                <w:sz w:val="18"/>
                <w:szCs w:val="18"/>
              </w:rPr>
            </w:pPr>
            <w:r>
              <w:rPr>
                <w:b/>
                <w:color w:val="auto"/>
                <w:sz w:val="18"/>
                <w:szCs w:val="18"/>
              </w:rPr>
              <w:t>债权项目</w:t>
            </w:r>
          </w:p>
        </w:tc>
        <w:tc>
          <w:tcPr>
            <w:tcW w:w="3828" w:type="dxa"/>
            <w:gridSpan w:val="4"/>
            <w:tcBorders>
              <w:bottom w:val="single" w:color="auto" w:sz="4" w:space="0"/>
            </w:tcBorders>
            <w:vAlign w:val="center"/>
          </w:tcPr>
          <w:p>
            <w:pPr>
              <w:jc w:val="center"/>
              <w:rPr>
                <w:b/>
                <w:color w:val="auto"/>
                <w:sz w:val="18"/>
                <w:szCs w:val="18"/>
              </w:rPr>
            </w:pPr>
            <w:r>
              <w:rPr>
                <w:b/>
                <w:color w:val="auto"/>
                <w:sz w:val="18"/>
                <w:szCs w:val="18"/>
              </w:rPr>
              <w:t>期末余额</w:t>
            </w:r>
          </w:p>
        </w:tc>
        <w:tc>
          <w:tcPr>
            <w:tcW w:w="3826" w:type="dxa"/>
            <w:gridSpan w:val="4"/>
            <w:tcBorders>
              <w:bottom w:val="single" w:color="auto" w:sz="4" w:space="0"/>
            </w:tcBorders>
            <w:vAlign w:val="center"/>
          </w:tcPr>
          <w:p>
            <w:pPr>
              <w:jc w:val="center"/>
              <w:rPr>
                <w:b/>
                <w:color w:val="auto"/>
                <w:sz w:val="18"/>
                <w:szCs w:val="18"/>
              </w:rPr>
            </w:pPr>
            <w:r>
              <w:rPr>
                <w:b/>
                <w:color w:val="auto"/>
                <w:sz w:val="18"/>
                <w:szCs w:val="18"/>
              </w:rPr>
              <w:t>期初余额</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8" w:space="0"/>
          </w:tblBorders>
          <w:tblCellMar>
            <w:top w:w="0" w:type="dxa"/>
            <w:left w:w="28" w:type="dxa"/>
            <w:bottom w:w="0" w:type="dxa"/>
            <w:right w:w="28" w:type="dxa"/>
          </w:tblCellMar>
        </w:tblPrEx>
        <w:trPr>
          <w:trHeight w:val="397" w:hRule="atLeast"/>
        </w:trPr>
        <w:tc>
          <w:tcPr>
            <w:tcW w:w="1916" w:type="dxa"/>
            <w:vMerge w:val="continue"/>
            <w:tcBorders>
              <w:top w:val="single" w:color="auto" w:sz="4" w:space="0"/>
            </w:tcBorders>
            <w:vAlign w:val="center"/>
          </w:tcPr>
          <w:p>
            <w:pPr>
              <w:jc w:val="center"/>
              <w:rPr>
                <w:b/>
                <w:color w:val="auto"/>
                <w:sz w:val="18"/>
                <w:szCs w:val="18"/>
              </w:rPr>
            </w:pPr>
          </w:p>
        </w:tc>
        <w:tc>
          <w:tcPr>
            <w:tcW w:w="957" w:type="dxa"/>
            <w:tcBorders>
              <w:top w:val="single" w:color="auto" w:sz="4" w:space="0"/>
            </w:tcBorders>
            <w:vAlign w:val="center"/>
          </w:tcPr>
          <w:p>
            <w:pPr>
              <w:jc w:val="center"/>
              <w:rPr>
                <w:b/>
                <w:color w:val="auto"/>
                <w:sz w:val="18"/>
                <w:szCs w:val="18"/>
              </w:rPr>
            </w:pPr>
            <w:r>
              <w:rPr>
                <w:b/>
                <w:color w:val="auto"/>
                <w:sz w:val="18"/>
                <w:szCs w:val="18"/>
              </w:rPr>
              <w:t>面值</w:t>
            </w:r>
          </w:p>
        </w:tc>
        <w:tc>
          <w:tcPr>
            <w:tcW w:w="958" w:type="dxa"/>
            <w:tcBorders>
              <w:top w:val="single" w:color="auto" w:sz="4" w:space="0"/>
            </w:tcBorders>
            <w:vAlign w:val="center"/>
          </w:tcPr>
          <w:p>
            <w:pPr>
              <w:jc w:val="center"/>
              <w:rPr>
                <w:b/>
                <w:color w:val="auto"/>
                <w:sz w:val="18"/>
                <w:szCs w:val="18"/>
              </w:rPr>
            </w:pPr>
            <w:r>
              <w:rPr>
                <w:b/>
                <w:color w:val="auto"/>
                <w:sz w:val="18"/>
                <w:szCs w:val="18"/>
              </w:rPr>
              <w:t>票面利率</w:t>
            </w:r>
          </w:p>
        </w:tc>
        <w:tc>
          <w:tcPr>
            <w:tcW w:w="956" w:type="dxa"/>
            <w:tcBorders>
              <w:top w:val="single" w:color="auto" w:sz="4" w:space="0"/>
            </w:tcBorders>
            <w:vAlign w:val="center"/>
          </w:tcPr>
          <w:p>
            <w:pPr>
              <w:jc w:val="center"/>
              <w:rPr>
                <w:b/>
                <w:color w:val="auto"/>
                <w:sz w:val="18"/>
                <w:szCs w:val="18"/>
              </w:rPr>
            </w:pPr>
            <w:r>
              <w:rPr>
                <w:b/>
                <w:color w:val="auto"/>
                <w:sz w:val="18"/>
                <w:szCs w:val="18"/>
              </w:rPr>
              <w:t>实际利率</w:t>
            </w:r>
          </w:p>
        </w:tc>
        <w:tc>
          <w:tcPr>
            <w:tcW w:w="957" w:type="dxa"/>
            <w:tcBorders>
              <w:top w:val="single" w:color="auto" w:sz="4" w:space="0"/>
            </w:tcBorders>
            <w:vAlign w:val="center"/>
          </w:tcPr>
          <w:p>
            <w:pPr>
              <w:jc w:val="center"/>
              <w:rPr>
                <w:b/>
                <w:color w:val="auto"/>
                <w:sz w:val="18"/>
                <w:szCs w:val="18"/>
              </w:rPr>
            </w:pPr>
            <w:r>
              <w:rPr>
                <w:b/>
                <w:color w:val="auto"/>
                <w:sz w:val="18"/>
                <w:szCs w:val="18"/>
              </w:rPr>
              <w:t>到期日</w:t>
            </w:r>
          </w:p>
        </w:tc>
        <w:tc>
          <w:tcPr>
            <w:tcW w:w="956" w:type="dxa"/>
            <w:tcBorders>
              <w:top w:val="single" w:color="auto" w:sz="4" w:space="0"/>
            </w:tcBorders>
            <w:vAlign w:val="center"/>
          </w:tcPr>
          <w:p>
            <w:pPr>
              <w:jc w:val="center"/>
              <w:rPr>
                <w:b/>
                <w:color w:val="auto"/>
                <w:sz w:val="18"/>
                <w:szCs w:val="18"/>
              </w:rPr>
            </w:pPr>
            <w:r>
              <w:rPr>
                <w:b/>
                <w:color w:val="auto"/>
                <w:sz w:val="18"/>
                <w:szCs w:val="18"/>
              </w:rPr>
              <w:t>面值</w:t>
            </w:r>
          </w:p>
        </w:tc>
        <w:tc>
          <w:tcPr>
            <w:tcW w:w="957" w:type="dxa"/>
            <w:tcBorders>
              <w:top w:val="single" w:color="auto" w:sz="4" w:space="0"/>
            </w:tcBorders>
            <w:vAlign w:val="center"/>
          </w:tcPr>
          <w:p>
            <w:pPr>
              <w:jc w:val="center"/>
              <w:rPr>
                <w:b/>
                <w:color w:val="auto"/>
                <w:sz w:val="18"/>
                <w:szCs w:val="18"/>
              </w:rPr>
            </w:pPr>
            <w:r>
              <w:rPr>
                <w:b/>
                <w:color w:val="auto"/>
                <w:sz w:val="18"/>
                <w:szCs w:val="18"/>
              </w:rPr>
              <w:t>票面利率</w:t>
            </w:r>
          </w:p>
        </w:tc>
        <w:tc>
          <w:tcPr>
            <w:tcW w:w="956" w:type="dxa"/>
            <w:tcBorders>
              <w:top w:val="single" w:color="auto" w:sz="4" w:space="0"/>
            </w:tcBorders>
            <w:vAlign w:val="center"/>
          </w:tcPr>
          <w:p>
            <w:pPr>
              <w:jc w:val="center"/>
              <w:rPr>
                <w:b/>
                <w:color w:val="auto"/>
                <w:sz w:val="18"/>
                <w:szCs w:val="18"/>
              </w:rPr>
            </w:pPr>
            <w:r>
              <w:rPr>
                <w:b/>
                <w:color w:val="auto"/>
                <w:sz w:val="18"/>
                <w:szCs w:val="18"/>
              </w:rPr>
              <w:t>实际利率</w:t>
            </w:r>
          </w:p>
        </w:tc>
        <w:tc>
          <w:tcPr>
            <w:tcW w:w="957" w:type="dxa"/>
            <w:tcBorders>
              <w:top w:val="single" w:color="auto" w:sz="4" w:space="0"/>
            </w:tcBorders>
            <w:vAlign w:val="center"/>
          </w:tcPr>
          <w:p>
            <w:pPr>
              <w:jc w:val="center"/>
              <w:rPr>
                <w:b/>
                <w:color w:val="auto"/>
                <w:sz w:val="18"/>
                <w:szCs w:val="18"/>
              </w:rPr>
            </w:pPr>
            <w:r>
              <w:rPr>
                <w:b/>
                <w:color w:val="auto"/>
                <w:sz w:val="18"/>
                <w:szCs w:val="18"/>
              </w:rPr>
              <w:t>到期日</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8" w:space="0"/>
          </w:tblBorders>
        </w:tblPrEx>
        <w:trPr>
          <w:trHeight w:val="397" w:hRule="atLeast"/>
        </w:trPr>
        <w:tc>
          <w:tcPr>
            <w:tcW w:w="1916" w:type="dxa"/>
            <w:vAlign w:val="bottom"/>
          </w:tcPr>
          <w:p>
            <w:pPr>
              <w:rPr>
                <w:color w:val="auto"/>
                <w:sz w:val="13"/>
                <w:szCs w:val="18"/>
              </w:rPr>
            </w:pPr>
            <w:r>
              <w:rPr>
                <w:rFonts w:ascii="宋体" w:hAnsi="宋体" w:cs="宋体"/>
                <w:color w:val="auto"/>
                <w:sz w:val="13"/>
                <w:szCs w:val="15"/>
              </w:rPr>
              <w:t>平安银行三年定期存单</w:t>
            </w:r>
          </w:p>
        </w:tc>
        <w:tc>
          <w:tcPr>
            <w:tcW w:w="957" w:type="dxa"/>
            <w:vAlign w:val="bottom"/>
          </w:tcPr>
          <w:p>
            <w:pPr>
              <w:jc w:val="right"/>
              <w:rPr>
                <w:color w:val="auto"/>
                <w:sz w:val="13"/>
                <w:szCs w:val="18"/>
              </w:rPr>
            </w:pPr>
            <w:r>
              <w:rPr>
                <w:color w:val="auto"/>
                <w:sz w:val="13"/>
                <w:szCs w:val="18"/>
              </w:rPr>
              <w:t>10,000,000.00</w:t>
            </w:r>
          </w:p>
        </w:tc>
        <w:tc>
          <w:tcPr>
            <w:tcW w:w="958" w:type="dxa"/>
            <w:vAlign w:val="bottom"/>
          </w:tcPr>
          <w:p>
            <w:pPr>
              <w:jc w:val="right"/>
              <w:rPr>
                <w:color w:val="auto"/>
                <w:sz w:val="13"/>
                <w:szCs w:val="18"/>
              </w:rPr>
            </w:pPr>
            <w:r>
              <w:rPr>
                <w:color w:val="auto"/>
                <w:sz w:val="13"/>
                <w:szCs w:val="18"/>
              </w:rPr>
              <w:t>3.05%</w:t>
            </w:r>
          </w:p>
        </w:tc>
        <w:tc>
          <w:tcPr>
            <w:tcW w:w="956" w:type="dxa"/>
            <w:vAlign w:val="bottom"/>
          </w:tcPr>
          <w:p>
            <w:pPr>
              <w:jc w:val="center"/>
              <w:rPr>
                <w:color w:val="auto"/>
                <w:sz w:val="13"/>
                <w:szCs w:val="18"/>
              </w:rPr>
            </w:pPr>
            <w:r>
              <w:rPr>
                <w:rFonts w:hint="eastAsia"/>
                <w:color w:val="auto"/>
                <w:sz w:val="13"/>
                <w:szCs w:val="18"/>
              </w:rPr>
              <w:t>/</w:t>
            </w:r>
          </w:p>
        </w:tc>
        <w:tc>
          <w:tcPr>
            <w:tcW w:w="957" w:type="dxa"/>
            <w:vAlign w:val="bottom"/>
          </w:tcPr>
          <w:p>
            <w:pPr>
              <w:jc w:val="right"/>
              <w:rPr>
                <w:color w:val="auto"/>
                <w:sz w:val="13"/>
                <w:szCs w:val="18"/>
              </w:rPr>
            </w:pPr>
            <w:r>
              <w:rPr>
                <w:color w:val="auto"/>
                <w:sz w:val="13"/>
                <w:szCs w:val="18"/>
              </w:rPr>
              <w:t>2025/9/16</w:t>
            </w:r>
          </w:p>
        </w:tc>
        <w:tc>
          <w:tcPr>
            <w:tcW w:w="956" w:type="dxa"/>
            <w:vAlign w:val="bottom"/>
          </w:tcPr>
          <w:p>
            <w:pPr>
              <w:jc w:val="right"/>
              <w:rPr>
                <w:color w:val="auto"/>
                <w:sz w:val="13"/>
                <w:szCs w:val="18"/>
              </w:rPr>
            </w:pPr>
          </w:p>
        </w:tc>
        <w:tc>
          <w:tcPr>
            <w:tcW w:w="957" w:type="dxa"/>
            <w:vAlign w:val="bottom"/>
          </w:tcPr>
          <w:p>
            <w:pPr>
              <w:jc w:val="right"/>
              <w:rPr>
                <w:color w:val="auto"/>
                <w:sz w:val="13"/>
                <w:szCs w:val="18"/>
              </w:rPr>
            </w:pPr>
          </w:p>
        </w:tc>
        <w:tc>
          <w:tcPr>
            <w:tcW w:w="956" w:type="dxa"/>
            <w:vAlign w:val="bottom"/>
          </w:tcPr>
          <w:p>
            <w:pPr>
              <w:jc w:val="right"/>
              <w:rPr>
                <w:color w:val="auto"/>
                <w:sz w:val="13"/>
                <w:szCs w:val="18"/>
              </w:rPr>
            </w:pPr>
          </w:p>
        </w:tc>
        <w:tc>
          <w:tcPr>
            <w:tcW w:w="957" w:type="dxa"/>
            <w:vAlign w:val="bottom"/>
          </w:tcPr>
          <w:p>
            <w:pPr>
              <w:jc w:val="right"/>
              <w:rPr>
                <w:color w:val="auto"/>
                <w:sz w:val="13"/>
                <w:szCs w:val="18"/>
              </w:rPr>
            </w:pP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8" w:space="0"/>
          </w:tblBorders>
        </w:tblPrEx>
        <w:trPr>
          <w:trHeight w:val="397" w:hRule="atLeast"/>
        </w:trPr>
        <w:tc>
          <w:tcPr>
            <w:tcW w:w="1916" w:type="dxa"/>
            <w:vAlign w:val="bottom"/>
          </w:tcPr>
          <w:p>
            <w:pPr>
              <w:jc w:val="center"/>
              <w:rPr>
                <w:b/>
                <w:color w:val="auto"/>
                <w:sz w:val="13"/>
                <w:szCs w:val="18"/>
              </w:rPr>
            </w:pPr>
            <w:r>
              <w:rPr>
                <w:b/>
                <w:color w:val="auto"/>
                <w:sz w:val="13"/>
                <w:szCs w:val="18"/>
              </w:rPr>
              <w:t>合计</w:t>
            </w:r>
          </w:p>
        </w:tc>
        <w:tc>
          <w:tcPr>
            <w:tcW w:w="957" w:type="dxa"/>
            <w:vAlign w:val="bottom"/>
          </w:tcPr>
          <w:p>
            <w:pPr>
              <w:jc w:val="right"/>
              <w:rPr>
                <w:b/>
                <w:color w:val="auto"/>
                <w:sz w:val="13"/>
                <w:szCs w:val="18"/>
              </w:rPr>
            </w:pPr>
            <w:r>
              <w:rPr>
                <w:b/>
                <w:color w:val="auto"/>
                <w:sz w:val="13"/>
                <w:szCs w:val="18"/>
              </w:rPr>
              <w:t>10,000,000.00</w:t>
            </w:r>
          </w:p>
        </w:tc>
        <w:tc>
          <w:tcPr>
            <w:tcW w:w="958" w:type="dxa"/>
            <w:vAlign w:val="bottom"/>
          </w:tcPr>
          <w:p>
            <w:pPr>
              <w:jc w:val="right"/>
              <w:rPr>
                <w:b/>
                <w:color w:val="auto"/>
                <w:sz w:val="13"/>
                <w:szCs w:val="18"/>
              </w:rPr>
            </w:pPr>
            <w:r>
              <w:rPr>
                <w:b/>
                <w:color w:val="auto"/>
                <w:sz w:val="13"/>
                <w:szCs w:val="18"/>
              </w:rPr>
              <w:t>3.05%</w:t>
            </w:r>
          </w:p>
        </w:tc>
        <w:tc>
          <w:tcPr>
            <w:tcW w:w="956" w:type="dxa"/>
            <w:vAlign w:val="bottom"/>
          </w:tcPr>
          <w:p>
            <w:pPr>
              <w:jc w:val="center"/>
              <w:rPr>
                <w:b/>
                <w:color w:val="auto"/>
                <w:sz w:val="13"/>
                <w:szCs w:val="18"/>
              </w:rPr>
            </w:pPr>
            <w:r>
              <w:rPr>
                <w:rFonts w:hint="eastAsia"/>
                <w:color w:val="auto"/>
                <w:sz w:val="13"/>
                <w:szCs w:val="18"/>
              </w:rPr>
              <w:t>/</w:t>
            </w:r>
          </w:p>
        </w:tc>
        <w:tc>
          <w:tcPr>
            <w:tcW w:w="957" w:type="dxa"/>
            <w:vAlign w:val="bottom"/>
          </w:tcPr>
          <w:p>
            <w:pPr>
              <w:jc w:val="right"/>
              <w:rPr>
                <w:b/>
                <w:color w:val="auto"/>
                <w:sz w:val="13"/>
                <w:szCs w:val="18"/>
              </w:rPr>
            </w:pPr>
            <w:r>
              <w:rPr>
                <w:b/>
                <w:color w:val="auto"/>
                <w:sz w:val="13"/>
                <w:szCs w:val="18"/>
              </w:rPr>
              <w:t>2025/9/16</w:t>
            </w:r>
          </w:p>
        </w:tc>
        <w:tc>
          <w:tcPr>
            <w:tcW w:w="956" w:type="dxa"/>
            <w:vAlign w:val="bottom"/>
          </w:tcPr>
          <w:p>
            <w:pPr>
              <w:jc w:val="center"/>
              <w:rPr>
                <w:b/>
                <w:color w:val="auto"/>
                <w:sz w:val="13"/>
                <w:szCs w:val="18"/>
              </w:rPr>
            </w:pPr>
          </w:p>
        </w:tc>
        <w:tc>
          <w:tcPr>
            <w:tcW w:w="957" w:type="dxa"/>
            <w:vAlign w:val="bottom"/>
          </w:tcPr>
          <w:p>
            <w:pPr>
              <w:jc w:val="center"/>
              <w:rPr>
                <w:b/>
                <w:color w:val="auto"/>
                <w:sz w:val="13"/>
                <w:szCs w:val="18"/>
              </w:rPr>
            </w:pPr>
          </w:p>
        </w:tc>
        <w:tc>
          <w:tcPr>
            <w:tcW w:w="956" w:type="dxa"/>
            <w:vAlign w:val="bottom"/>
          </w:tcPr>
          <w:p>
            <w:pPr>
              <w:jc w:val="center"/>
              <w:rPr>
                <w:b/>
                <w:color w:val="auto"/>
                <w:sz w:val="13"/>
                <w:szCs w:val="18"/>
              </w:rPr>
            </w:pPr>
          </w:p>
        </w:tc>
        <w:tc>
          <w:tcPr>
            <w:tcW w:w="957" w:type="dxa"/>
            <w:vAlign w:val="bottom"/>
          </w:tcPr>
          <w:p>
            <w:pPr>
              <w:jc w:val="center"/>
              <w:rPr>
                <w:b/>
                <w:color w:val="auto"/>
                <w:sz w:val="13"/>
                <w:szCs w:val="18"/>
              </w:rPr>
            </w:pPr>
          </w:p>
        </w:tc>
      </w:tr>
    </w:tbl>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（3）减值准备计提情况：无。</w:t>
      </w:r>
    </w:p>
    <w:p>
      <w:pPr>
        <w:pStyle w:val="5"/>
        <w:spacing w:before="150" w:beforeLines="50" w:after="150" w:afterLines="50" w:line="360" w:lineRule="auto"/>
        <w:ind w:firstLine="420" w:firstLineChars="200"/>
        <w:rPr>
          <w:rFonts w:ascii="宋体" w:hAnsi="宋体" w:eastAsia="宋体"/>
          <w:b/>
          <w:color w:val="auto"/>
          <w:sz w:val="24"/>
          <w:szCs w:val="24"/>
        </w:rPr>
      </w:pPr>
      <w:r>
        <w:rPr>
          <w:rFonts w:hint="eastAsia" w:ascii="宋体" w:hAnsi="宋体" w:eastAsia="宋体"/>
          <w:color w:val="auto"/>
        </w:rPr>
        <w:t>（4）定期存单质押情况详见附注五、51所有权或使用权受到限制的资产明细。</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11、投资性房地产</w:t>
      </w:r>
    </w:p>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（1）采用成本计量模式的投资性房地产：</w:t>
      </w:r>
    </w:p>
    <w:tbl>
      <w:tblPr>
        <w:tblStyle w:val="9"/>
        <w:tblW w:w="4941" w:type="pct"/>
        <w:tblCaption w:val="&quot;\\lisheng\共享\1、伟隆2022年度审计\1、2022年度审计\1、附注及报告\2022年\附注计算-伟隆 - 2022.xlsx&quot; &quot;2022附注格式!_ReportTable_0036&quot;"/>
        <w:tblDescription w:val="A214:D243"/>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380"/>
        <w:gridCol w:w="2119"/>
        <w:gridCol w:w="2119"/>
        <w:gridCol w:w="21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12" w:space="0"/>
              <w:left w:val="nil"/>
              <w:bottom w:val="single" w:color="auto" w:sz="12" w:space="0"/>
              <w:right w:val="single" w:color="auto" w:sz="4" w:space="0"/>
            </w:tcBorders>
            <w:vAlign w:val="center"/>
          </w:tcPr>
          <w:p>
            <w:pPr>
              <w:jc w:val="center"/>
              <w:rPr>
                <w:rFonts w:ascii="宋体" w:hAnsi="宋体"/>
                <w:b/>
                <w:color w:val="auto"/>
                <w:kern w:val="0"/>
                <w:sz w:val="18"/>
                <w:szCs w:val="18"/>
              </w:rPr>
            </w:pPr>
            <w:r>
              <w:rPr>
                <w:rFonts w:hint="eastAsia" w:ascii="宋体" w:hAnsi="宋体"/>
                <w:b/>
                <w:color w:val="auto"/>
                <w:kern w:val="0"/>
                <w:sz w:val="18"/>
                <w:szCs w:val="18"/>
              </w:rPr>
              <w:t>项</w:t>
            </w:r>
            <w:r>
              <w:rPr>
                <w:rFonts w:ascii="宋体" w:hAnsi="宋体"/>
                <w:b/>
                <w:color w:val="auto"/>
                <w:kern w:val="0"/>
                <w:sz w:val="18"/>
                <w:szCs w:val="18"/>
              </w:rPr>
              <w:t xml:space="preserve">  目</w:t>
            </w:r>
          </w:p>
        </w:tc>
        <w:tc>
          <w:tcPr>
            <w:tcW w:w="1088"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color w:val="auto"/>
                <w:kern w:val="0"/>
                <w:sz w:val="18"/>
                <w:szCs w:val="18"/>
              </w:rPr>
            </w:pPr>
            <w:r>
              <w:rPr>
                <w:rFonts w:hint="eastAsia" w:ascii="宋体" w:hAnsi="宋体"/>
                <w:b/>
                <w:color w:val="auto"/>
                <w:kern w:val="0"/>
                <w:sz w:val="18"/>
                <w:szCs w:val="18"/>
              </w:rPr>
              <w:t>房屋建筑物</w:t>
            </w:r>
          </w:p>
        </w:tc>
        <w:tc>
          <w:tcPr>
            <w:tcW w:w="1088"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color w:val="auto"/>
                <w:kern w:val="0"/>
                <w:sz w:val="18"/>
                <w:szCs w:val="18"/>
              </w:rPr>
            </w:pPr>
            <w:r>
              <w:rPr>
                <w:rFonts w:hint="eastAsia" w:ascii="宋体" w:hAnsi="宋体"/>
                <w:b/>
                <w:color w:val="auto"/>
                <w:kern w:val="0"/>
                <w:sz w:val="18"/>
                <w:szCs w:val="18"/>
              </w:rPr>
              <w:t>土地使用权</w:t>
            </w:r>
          </w:p>
        </w:tc>
        <w:tc>
          <w:tcPr>
            <w:tcW w:w="1088" w:type="pct"/>
            <w:tcBorders>
              <w:top w:val="single" w:color="auto" w:sz="12" w:space="0"/>
              <w:left w:val="single" w:color="auto" w:sz="4" w:space="0"/>
              <w:bottom w:val="single" w:color="auto" w:sz="12" w:space="0"/>
              <w:right w:val="nil"/>
            </w:tcBorders>
            <w:vAlign w:val="center"/>
          </w:tcPr>
          <w:p>
            <w:pPr>
              <w:jc w:val="center"/>
              <w:rPr>
                <w:rFonts w:ascii="宋体" w:hAnsi="宋体"/>
                <w:b/>
                <w:color w:val="auto"/>
                <w:kern w:val="0"/>
                <w:sz w:val="18"/>
                <w:szCs w:val="18"/>
              </w:rPr>
            </w:pPr>
            <w:r>
              <w:rPr>
                <w:rFonts w:hint="eastAsia" w:ascii="宋体" w:hAnsi="宋体"/>
                <w:b/>
                <w:color w:val="auto"/>
                <w:kern w:val="0"/>
                <w:sz w:val="18"/>
                <w:szCs w:val="18"/>
              </w:rPr>
              <w:t>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36" w:type="pct"/>
            <w:tcBorders>
              <w:top w:val="single" w:color="auto" w:sz="12" w:space="0"/>
              <w:left w:val="nil"/>
              <w:bottom w:val="single" w:color="auto" w:sz="4" w:space="0"/>
              <w:right w:val="single" w:color="auto" w:sz="4" w:space="0"/>
            </w:tcBorders>
            <w:vAlign w:val="bottom"/>
          </w:tcPr>
          <w:p>
            <w:pPr>
              <w:rPr>
                <w:rFonts w:ascii="宋体" w:hAnsi="宋体"/>
                <w:b/>
                <w:color w:val="auto"/>
                <w:kern w:val="0"/>
                <w:sz w:val="18"/>
                <w:szCs w:val="18"/>
              </w:rPr>
            </w:pPr>
            <w:r>
              <w:rPr>
                <w:rFonts w:hint="eastAsia" w:ascii="宋体" w:hAnsi="宋体"/>
                <w:b/>
                <w:color w:val="auto"/>
                <w:kern w:val="0"/>
                <w:sz w:val="18"/>
                <w:szCs w:val="18"/>
              </w:rPr>
              <w:t>一、账面原值</w:t>
            </w:r>
          </w:p>
        </w:tc>
        <w:tc>
          <w:tcPr>
            <w:tcW w:w="1088"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b/>
                <w:bCs/>
                <w:color w:val="auto"/>
                <w:sz w:val="18"/>
                <w:szCs w:val="18"/>
              </w:rPr>
            </w:pPr>
          </w:p>
        </w:tc>
        <w:tc>
          <w:tcPr>
            <w:tcW w:w="1088"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b/>
                <w:bCs/>
                <w:color w:val="auto"/>
                <w:sz w:val="18"/>
                <w:szCs w:val="18"/>
              </w:rPr>
            </w:pPr>
          </w:p>
        </w:tc>
        <w:tc>
          <w:tcPr>
            <w:tcW w:w="1088" w:type="pct"/>
            <w:tcBorders>
              <w:top w:val="single" w:color="auto" w:sz="12" w:space="0"/>
              <w:left w:val="single" w:color="auto" w:sz="4" w:space="0"/>
              <w:bottom w:val="single" w:color="auto" w:sz="4" w:space="0"/>
              <w:right w:val="nil"/>
            </w:tcBorders>
            <w:vAlign w:val="bottom"/>
          </w:tcPr>
          <w:p>
            <w:pPr>
              <w:jc w:val="right"/>
              <w:rPr>
                <w:rFonts w:cs="宋体" w:asciiTheme="minorEastAsia" w:hAnsiTheme="minorEastAsia" w:eastAsiaTheme="minorEastAsia"/>
                <w:b/>
                <w:bCs/>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ascii="宋体" w:hAnsi="宋体"/>
                <w:color w:val="auto"/>
                <w:kern w:val="0"/>
                <w:sz w:val="18"/>
                <w:szCs w:val="18"/>
              </w:rPr>
              <w:t>1.期初余额</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13,485,783.49 </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2,253,604.32 </w:t>
            </w: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15,739,387.81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ascii="宋体" w:hAnsi="宋体"/>
                <w:color w:val="auto"/>
                <w:kern w:val="0"/>
                <w:sz w:val="18"/>
                <w:szCs w:val="18"/>
              </w:rPr>
              <w:t>2.本期增加金额</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1）外购</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2）固定资产及无形资产转入</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ascii="宋体" w:hAnsi="宋体"/>
                <w:color w:val="auto"/>
                <w:kern w:val="0"/>
                <w:sz w:val="18"/>
                <w:szCs w:val="18"/>
              </w:rPr>
              <w:t>3.本期减少金额</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4,048,389.81</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1,010,302.60</w:t>
            </w: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5,058,692.41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1）处置</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2）转入固定资产及无形资产</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4,048,389.81</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1,010,302.60</w:t>
            </w: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5,058,692.41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ascii="宋体" w:hAnsi="宋体"/>
                <w:color w:val="auto"/>
                <w:kern w:val="0"/>
                <w:sz w:val="18"/>
                <w:szCs w:val="18"/>
              </w:rPr>
              <w:t>4.期末余额</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9,437,393.68</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1,243,301.72</w:t>
            </w: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10,680,695.40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b/>
                <w:color w:val="auto"/>
                <w:kern w:val="0"/>
                <w:sz w:val="18"/>
                <w:szCs w:val="18"/>
              </w:rPr>
            </w:pPr>
            <w:r>
              <w:rPr>
                <w:rFonts w:hint="eastAsia" w:ascii="宋体" w:hAnsi="宋体"/>
                <w:b/>
                <w:color w:val="auto"/>
                <w:kern w:val="0"/>
                <w:sz w:val="18"/>
                <w:szCs w:val="18"/>
              </w:rPr>
              <w:t>二、累计折旧和累计摊销</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ascii="宋体" w:hAnsi="宋体"/>
                <w:color w:val="auto"/>
                <w:kern w:val="0"/>
                <w:sz w:val="18"/>
                <w:szCs w:val="18"/>
              </w:rPr>
              <w:t>1.期初余额</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9,296,674.05 </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864,051.98 </w:t>
            </w: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10,160,726.03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ascii="宋体" w:hAnsi="宋体"/>
                <w:color w:val="auto"/>
                <w:kern w:val="0"/>
                <w:sz w:val="18"/>
                <w:szCs w:val="18"/>
              </w:rPr>
              <w:t>2.本期增加金额</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258,575.89</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23,752.80</w:t>
            </w: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282,328.69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1）计提或摊销</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258,575.89</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23,752.80</w:t>
            </w: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282,328.69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2）固定资产及无形资产转入</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ascii="宋体" w:hAnsi="宋体"/>
                <w:color w:val="auto"/>
                <w:kern w:val="0"/>
                <w:sz w:val="18"/>
                <w:szCs w:val="18"/>
              </w:rPr>
              <w:t>3.本期减少金额</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1,008,977.36</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67,095.96</w:t>
            </w: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1,076,073.32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1）处置</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2）转入固定资产及无形资产</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1,008,977.36</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67,095.96</w:t>
            </w: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1,076,073.32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ascii="宋体" w:hAnsi="宋体"/>
                <w:color w:val="auto"/>
                <w:kern w:val="0"/>
                <w:sz w:val="18"/>
                <w:szCs w:val="18"/>
              </w:rPr>
              <w:t>4.期末余额</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8,546,272.58</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820,708.82</w:t>
            </w: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9,366,981.40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b/>
                <w:color w:val="auto"/>
                <w:kern w:val="0"/>
                <w:sz w:val="18"/>
                <w:szCs w:val="18"/>
              </w:rPr>
            </w:pPr>
            <w:r>
              <w:rPr>
                <w:rFonts w:hint="eastAsia" w:ascii="宋体" w:hAnsi="宋体"/>
                <w:b/>
                <w:color w:val="auto"/>
                <w:kern w:val="0"/>
                <w:sz w:val="18"/>
                <w:szCs w:val="18"/>
              </w:rPr>
              <w:t>三、减值准备</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ascii="宋体" w:hAnsi="宋体"/>
                <w:color w:val="auto"/>
                <w:kern w:val="0"/>
                <w:sz w:val="18"/>
                <w:szCs w:val="18"/>
              </w:rPr>
              <w:t>1.期初余额</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ascii="宋体" w:hAnsi="宋体"/>
                <w:color w:val="auto"/>
                <w:kern w:val="0"/>
                <w:sz w:val="18"/>
                <w:szCs w:val="18"/>
              </w:rPr>
              <w:t>2.本期增加金额</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1）计提</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ascii="宋体" w:hAnsi="宋体"/>
                <w:color w:val="auto"/>
                <w:kern w:val="0"/>
                <w:sz w:val="18"/>
                <w:szCs w:val="18"/>
              </w:rPr>
              <w:t>3.本期减少金额</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1）处置</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2）其他转出</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ascii="宋体" w:hAnsi="宋体"/>
                <w:color w:val="auto"/>
                <w:kern w:val="0"/>
                <w:sz w:val="18"/>
                <w:szCs w:val="18"/>
              </w:rPr>
              <w:t>4.期末余额</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jc w:val="left"/>
              <w:rPr>
                <w:rFonts w:ascii="宋体" w:hAnsi="宋体"/>
                <w:b/>
                <w:color w:val="auto"/>
                <w:kern w:val="0"/>
                <w:sz w:val="18"/>
                <w:szCs w:val="18"/>
              </w:rPr>
            </w:pPr>
            <w:r>
              <w:rPr>
                <w:rFonts w:hint="eastAsia" w:ascii="宋体" w:hAnsi="宋体"/>
                <w:b/>
                <w:color w:val="auto"/>
                <w:kern w:val="0"/>
                <w:sz w:val="18"/>
                <w:szCs w:val="18"/>
              </w:rPr>
              <w:t>四、账面价值</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ascii="宋体" w:hAnsi="宋体"/>
                <w:color w:val="auto"/>
                <w:kern w:val="0"/>
                <w:sz w:val="18"/>
                <w:szCs w:val="18"/>
              </w:rPr>
              <w:t>1.期末账面价值</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891,121.10</w:t>
            </w:r>
          </w:p>
        </w:tc>
        <w:tc>
          <w:tcPr>
            <w:tcW w:w="1088"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422,592.90</w:t>
            </w:r>
          </w:p>
        </w:tc>
        <w:tc>
          <w:tcPr>
            <w:tcW w:w="1088"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1,313,714.00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736" w:type="pct"/>
            <w:tcBorders>
              <w:top w:val="single" w:color="auto" w:sz="4" w:space="0"/>
              <w:left w:val="nil"/>
              <w:bottom w:val="single" w:color="auto" w:sz="12" w:space="0"/>
              <w:right w:val="single" w:color="auto" w:sz="4" w:space="0"/>
            </w:tcBorders>
            <w:vAlign w:val="bottom"/>
          </w:tcPr>
          <w:p>
            <w:pPr>
              <w:rPr>
                <w:rFonts w:ascii="宋体" w:hAnsi="宋体"/>
                <w:color w:val="auto"/>
                <w:kern w:val="0"/>
                <w:sz w:val="18"/>
                <w:szCs w:val="18"/>
              </w:rPr>
            </w:pPr>
            <w:r>
              <w:rPr>
                <w:rFonts w:ascii="宋体" w:hAnsi="宋体"/>
                <w:color w:val="auto"/>
                <w:kern w:val="0"/>
                <w:sz w:val="18"/>
                <w:szCs w:val="18"/>
              </w:rPr>
              <w:t>2.期初账面价值</w:t>
            </w:r>
          </w:p>
        </w:tc>
        <w:tc>
          <w:tcPr>
            <w:tcW w:w="1088" w:type="pct"/>
            <w:tcBorders>
              <w:top w:val="single" w:color="auto" w:sz="4"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4,189,109.44 </w:t>
            </w:r>
          </w:p>
        </w:tc>
        <w:tc>
          <w:tcPr>
            <w:tcW w:w="1088" w:type="pct"/>
            <w:tcBorders>
              <w:top w:val="single" w:color="auto" w:sz="4"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1,389,552.34 </w:t>
            </w:r>
          </w:p>
        </w:tc>
        <w:tc>
          <w:tcPr>
            <w:tcW w:w="1088" w:type="pct"/>
            <w:tcBorders>
              <w:top w:val="single" w:color="auto" w:sz="4" w:space="0"/>
              <w:left w:val="single" w:color="auto" w:sz="4" w:space="0"/>
              <w:bottom w:val="single" w:color="auto" w:sz="12"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5,578,661.78 </w:t>
            </w:r>
          </w:p>
        </w:tc>
      </w:tr>
    </w:tbl>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（2）报告期投资性房地产未发生减值情况，故未计提减值准备。</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12、固定资产</w:t>
      </w:r>
    </w:p>
    <w:p>
      <w:pPr>
        <w:spacing w:before="150" w:beforeLines="50" w:after="150" w:afterLines="50" w:line="360" w:lineRule="auto"/>
        <w:ind w:firstLine="411" w:firstLineChars="196"/>
        <w:rPr>
          <w:rFonts w:ascii="宋体" w:hAnsi="宋体"/>
          <w:b/>
          <w:color w:val="auto"/>
          <w:szCs w:val="21"/>
        </w:rPr>
      </w:pPr>
      <w:r>
        <w:rPr>
          <w:rFonts w:hint="eastAsia" w:ascii="宋体" w:hAnsi="宋体"/>
          <w:b/>
          <w:color w:val="auto"/>
          <w:szCs w:val="21"/>
        </w:rPr>
        <w:t>总体情况列示：</w:t>
      </w:r>
    </w:p>
    <w:tbl>
      <w:tblPr>
        <w:tblStyle w:val="9"/>
        <w:tblW w:w="0" w:type="auto"/>
        <w:tblCaption w:val="&quot;\\lisheng\共享\1、伟隆2022年度审计\1、2022年度审计\1、附注及报告\2022年\附注计算-伟隆 - 2022.xlsx&quot; &quot;2022附注格式!_ReportTable_0037&quot;"/>
        <w:tblDescription w:val="A247:C250"/>
        <w:tblInd w:w="107" w:type="dxa"/>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Layout w:type="fixed"/>
        <w:tblCellMar>
          <w:top w:w="0" w:type="dxa"/>
          <w:left w:w="107" w:type="dxa"/>
          <w:bottom w:w="0" w:type="dxa"/>
          <w:right w:w="107" w:type="dxa"/>
        </w:tblCellMar>
      </w:tblPr>
      <w:tblGrid>
        <w:gridCol w:w="2908"/>
        <w:gridCol w:w="3016"/>
        <w:gridCol w:w="3016"/>
      </w:tblGrid>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PrEx>
        <w:trPr>
          <w:cantSplit/>
          <w:trHeight w:val="454" w:hRule="atLeast"/>
        </w:trPr>
        <w:tc>
          <w:tcPr>
            <w:tcW w:w="2908" w:type="dxa"/>
            <w:tcBorders>
              <w:bottom w:val="single" w:color="000000" w:sz="12" w:space="0"/>
            </w:tcBorders>
            <w:vAlign w:val="center"/>
          </w:tcPr>
          <w:p>
            <w:pPr>
              <w:ind w:firstLine="361"/>
              <w:jc w:val="center"/>
              <w:rPr>
                <w:rFonts w:ascii="宋体" w:hAnsi="宋体"/>
                <w:b/>
                <w:color w:val="auto"/>
                <w:sz w:val="18"/>
                <w:szCs w:val="18"/>
              </w:rPr>
            </w:pPr>
            <w:r>
              <w:rPr>
                <w:rFonts w:hint="eastAsia" w:ascii="宋体" w:hAnsi="宋体"/>
                <w:b/>
                <w:color w:val="auto"/>
                <w:sz w:val="18"/>
                <w:szCs w:val="18"/>
              </w:rPr>
              <w:t>项</w:t>
            </w:r>
            <w:r>
              <w:rPr>
                <w:rFonts w:ascii="宋体" w:hAnsi="宋体"/>
                <w:b/>
                <w:color w:val="auto"/>
                <w:sz w:val="18"/>
                <w:szCs w:val="18"/>
              </w:rPr>
              <w:t xml:space="preserve">  目</w:t>
            </w:r>
          </w:p>
        </w:tc>
        <w:tc>
          <w:tcPr>
            <w:tcW w:w="3016" w:type="dxa"/>
            <w:tcBorders>
              <w:bottom w:val="single" w:color="000000" w:sz="12" w:space="0"/>
            </w:tcBorders>
            <w:vAlign w:val="center"/>
          </w:tcPr>
          <w:p>
            <w:pPr>
              <w:ind w:firstLine="361"/>
              <w:jc w:val="center"/>
              <w:rPr>
                <w:rFonts w:ascii="宋体"/>
                <w:b/>
                <w:color w:val="auto"/>
                <w:sz w:val="18"/>
                <w:szCs w:val="18"/>
              </w:rPr>
            </w:pPr>
            <w:r>
              <w:rPr>
                <w:rFonts w:hint="eastAsia" w:ascii="宋体" w:hAnsi="宋体"/>
                <w:b/>
                <w:color w:val="auto"/>
                <w:sz w:val="18"/>
                <w:szCs w:val="18"/>
              </w:rPr>
              <w:t>期末余额</w:t>
            </w:r>
          </w:p>
        </w:tc>
        <w:tc>
          <w:tcPr>
            <w:tcW w:w="3016" w:type="dxa"/>
            <w:tcBorders>
              <w:bottom w:val="single" w:color="000000" w:sz="12" w:space="0"/>
            </w:tcBorders>
            <w:vAlign w:val="center"/>
          </w:tcPr>
          <w:p>
            <w:pPr>
              <w:ind w:firstLine="361"/>
              <w:jc w:val="center"/>
              <w:rPr>
                <w:rFonts w:ascii="宋体"/>
                <w:b/>
                <w:color w:val="auto"/>
                <w:sz w:val="18"/>
                <w:szCs w:val="18"/>
              </w:rPr>
            </w:pPr>
            <w:r>
              <w:rPr>
                <w:rFonts w:hint="eastAsia" w:ascii="宋体" w:hAnsi="宋体"/>
                <w:b/>
                <w:color w:val="auto"/>
                <w:sz w:val="18"/>
                <w:szCs w:val="18"/>
              </w:rPr>
              <w:t>期初余额</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107" w:type="dxa"/>
            <w:bottom w:w="0" w:type="dxa"/>
            <w:right w:w="107" w:type="dxa"/>
          </w:tblCellMar>
        </w:tblPrEx>
        <w:trPr>
          <w:cantSplit/>
          <w:trHeight w:val="454" w:hRule="atLeast"/>
        </w:trPr>
        <w:tc>
          <w:tcPr>
            <w:tcW w:w="2908" w:type="dxa"/>
            <w:tcBorders>
              <w:bottom w:val="single" w:color="auto" w:sz="4" w:space="0"/>
            </w:tcBorders>
            <w:vAlign w:val="bottom"/>
          </w:tcPr>
          <w:p>
            <w:pPr>
              <w:rPr>
                <w:rFonts w:ascii="宋体" w:hAnsi="宋体"/>
                <w:color w:val="auto"/>
                <w:sz w:val="18"/>
                <w:szCs w:val="18"/>
              </w:rPr>
            </w:pPr>
            <w:r>
              <w:rPr>
                <w:rFonts w:hint="eastAsia" w:ascii="宋体" w:hAnsi="宋体"/>
                <w:color w:val="auto"/>
                <w:sz w:val="18"/>
                <w:szCs w:val="18"/>
              </w:rPr>
              <w:t>固定资产</w:t>
            </w:r>
          </w:p>
        </w:tc>
        <w:tc>
          <w:tcPr>
            <w:tcW w:w="3016" w:type="dxa"/>
            <w:tcBorders>
              <w:bottom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238,863,943.64</w:t>
            </w:r>
          </w:p>
        </w:tc>
        <w:tc>
          <w:tcPr>
            <w:tcW w:w="3016" w:type="dxa"/>
            <w:tcBorders>
              <w:bottom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250,212,871.99 </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PrEx>
        <w:trPr>
          <w:cantSplit/>
          <w:trHeight w:val="454" w:hRule="atLeast"/>
        </w:trPr>
        <w:tc>
          <w:tcPr>
            <w:tcW w:w="2908" w:type="dxa"/>
            <w:tcBorders>
              <w:top w:val="single" w:color="auto" w:sz="4" w:space="0"/>
            </w:tcBorders>
            <w:vAlign w:val="bottom"/>
          </w:tcPr>
          <w:p>
            <w:pPr>
              <w:rPr>
                <w:rFonts w:ascii="宋体" w:hAnsi="宋体"/>
                <w:color w:val="auto"/>
                <w:sz w:val="18"/>
                <w:szCs w:val="18"/>
              </w:rPr>
            </w:pPr>
            <w:r>
              <w:rPr>
                <w:rFonts w:hint="eastAsia" w:ascii="宋体" w:hAnsi="宋体"/>
                <w:color w:val="auto"/>
                <w:sz w:val="18"/>
                <w:szCs w:val="18"/>
              </w:rPr>
              <w:t>固定资产清理</w:t>
            </w:r>
          </w:p>
        </w:tc>
        <w:tc>
          <w:tcPr>
            <w:tcW w:w="3016" w:type="dxa"/>
            <w:tcBorders>
              <w:top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3016" w:type="dxa"/>
            <w:tcBorders>
              <w:top w:val="single" w:color="auto" w:sz="4" w:space="0"/>
            </w:tcBorders>
            <w:vAlign w:val="bottom"/>
          </w:tcPr>
          <w:p>
            <w:pPr>
              <w:jc w:val="right"/>
              <w:rPr>
                <w:rFonts w:cs="宋体" w:asciiTheme="minorEastAsia" w:hAnsiTheme="minorEastAsia" w:eastAsiaTheme="minorEastAsia"/>
                <w:color w:val="auto"/>
                <w:sz w:val="18"/>
                <w:szCs w:val="18"/>
              </w:rPr>
            </w:pP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PrEx>
        <w:trPr>
          <w:cantSplit/>
          <w:trHeight w:val="454" w:hRule="atLeast"/>
        </w:trPr>
        <w:tc>
          <w:tcPr>
            <w:tcW w:w="2908" w:type="dxa"/>
            <w:vAlign w:val="bottom"/>
          </w:tcPr>
          <w:p>
            <w:pPr>
              <w:ind w:firstLine="361"/>
              <w:jc w:val="center"/>
              <w:rPr>
                <w:rFonts w:ascii="宋体" w:hAnsi="宋体"/>
                <w:b/>
                <w:color w:val="auto"/>
                <w:sz w:val="18"/>
                <w:szCs w:val="18"/>
              </w:rPr>
            </w:pPr>
            <w:r>
              <w:rPr>
                <w:rFonts w:hint="eastAsia" w:ascii="宋体" w:hAnsi="宋体"/>
                <w:b/>
                <w:color w:val="auto"/>
                <w:sz w:val="18"/>
                <w:szCs w:val="18"/>
              </w:rPr>
              <w:t>合计</w:t>
            </w:r>
          </w:p>
        </w:tc>
        <w:tc>
          <w:tcPr>
            <w:tcW w:w="3016" w:type="dxa"/>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238,863,943.64</w:t>
            </w:r>
          </w:p>
        </w:tc>
        <w:tc>
          <w:tcPr>
            <w:tcW w:w="3016" w:type="dxa"/>
            <w:vAlign w:val="bottom"/>
          </w:tcPr>
          <w:p>
            <w:pPr>
              <w:jc w:val="right"/>
              <w:rPr>
                <w:rFonts w:cs="宋体" w:asciiTheme="minorEastAsia" w:hAnsiTheme="minorEastAsia" w:eastAsiaTheme="minorEastAsia"/>
                <w:b/>
                <w:bCs/>
                <w:color w:val="auto"/>
                <w:sz w:val="18"/>
                <w:szCs w:val="18"/>
              </w:rPr>
            </w:pPr>
            <w:r>
              <w:rPr>
                <w:rFonts w:ascii="宋体" w:hAnsi="宋体" w:cs="宋体"/>
                <w:b/>
                <w:bCs/>
                <w:color w:val="auto"/>
                <w:kern w:val="0"/>
                <w:sz w:val="18"/>
                <w:szCs w:val="18"/>
              </w:rPr>
              <w:t xml:space="preserve">250,212,871.99 </w:t>
            </w:r>
          </w:p>
        </w:tc>
      </w:tr>
    </w:tbl>
    <w:p>
      <w:pPr>
        <w:spacing w:before="150" w:beforeLines="50" w:after="150" w:afterLines="50" w:line="360" w:lineRule="auto"/>
        <w:ind w:firstLine="420" w:firstLineChars="200"/>
        <w:rPr>
          <w:rFonts w:ascii="宋体" w:hAnsi="宋体"/>
          <w:b/>
          <w:color w:val="auto"/>
          <w:szCs w:val="21"/>
        </w:rPr>
      </w:pPr>
      <w:r>
        <w:rPr>
          <w:rFonts w:hint="eastAsia" w:ascii="宋体" w:hAnsi="宋体"/>
          <w:b/>
          <w:color w:val="auto"/>
          <w:szCs w:val="21"/>
        </w:rPr>
        <w:t>（1）固定资产</w:t>
      </w:r>
    </w:p>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①明细项目：</w:t>
      </w:r>
    </w:p>
    <w:tbl>
      <w:tblPr>
        <w:tblStyle w:val="9"/>
        <w:tblW w:w="5173" w:type="pct"/>
        <w:tblCaption w:val="&quot;\\lisheng\共享\1、伟隆2022年度审计\1、2022年度审计\1、附注及报告\2022年\附注计算-伟隆 - 2022.xlsx&quot; &quot;2022附注格式!_ReportTable_0038&quot;"/>
        <w:tblDescription w:val="A253:F282"/>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30" w:type="dxa"/>
          <w:bottom w:w="0" w:type="dxa"/>
          <w:right w:w="30" w:type="dxa"/>
        </w:tblCellMar>
      </w:tblPr>
      <w:tblGrid>
        <w:gridCol w:w="2344"/>
        <w:gridCol w:w="1692"/>
        <w:gridCol w:w="1539"/>
        <w:gridCol w:w="1324"/>
        <w:gridCol w:w="1599"/>
        <w:gridCol w:w="15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12" w:space="0"/>
              <w:left w:val="nil"/>
              <w:bottom w:val="single" w:color="auto" w:sz="12" w:space="0"/>
              <w:right w:val="single" w:color="auto" w:sz="4" w:space="0"/>
            </w:tcBorders>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项</w:t>
            </w:r>
            <w:r>
              <w:rPr>
                <w:rFonts w:ascii="宋体" w:hAnsi="宋体"/>
                <w:b/>
                <w:color w:val="auto"/>
                <w:kern w:val="0"/>
                <w:sz w:val="18"/>
                <w:szCs w:val="18"/>
              </w:rPr>
              <w:t xml:space="preserve">  目</w:t>
            </w:r>
          </w:p>
        </w:tc>
        <w:tc>
          <w:tcPr>
            <w:tcW w:w="843" w:type="pct"/>
            <w:tcBorders>
              <w:top w:val="single" w:color="auto" w:sz="12" w:space="0"/>
              <w:left w:val="single" w:color="auto" w:sz="4" w:space="0"/>
              <w:bottom w:val="single" w:color="auto" w:sz="12" w:space="0"/>
              <w:right w:val="single" w:color="auto" w:sz="4" w:space="0"/>
            </w:tcBorders>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房屋及建筑物</w:t>
            </w:r>
          </w:p>
        </w:tc>
        <w:tc>
          <w:tcPr>
            <w:tcW w:w="767" w:type="pct"/>
            <w:tcBorders>
              <w:top w:val="single" w:color="auto" w:sz="12" w:space="0"/>
              <w:left w:val="single" w:color="auto" w:sz="4" w:space="0"/>
              <w:bottom w:val="single" w:color="auto" w:sz="12" w:space="0"/>
              <w:right w:val="single" w:color="auto" w:sz="4" w:space="0"/>
            </w:tcBorders>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机器设备</w:t>
            </w:r>
          </w:p>
        </w:tc>
        <w:tc>
          <w:tcPr>
            <w:tcW w:w="660" w:type="pct"/>
            <w:tcBorders>
              <w:top w:val="single" w:color="auto" w:sz="12" w:space="0"/>
              <w:left w:val="single" w:color="auto" w:sz="4" w:space="0"/>
              <w:bottom w:val="single" w:color="auto" w:sz="12" w:space="0"/>
              <w:right w:val="single" w:color="auto" w:sz="4" w:space="0"/>
            </w:tcBorders>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运输工具</w:t>
            </w:r>
          </w:p>
        </w:tc>
        <w:tc>
          <w:tcPr>
            <w:tcW w:w="797" w:type="pct"/>
            <w:tcBorders>
              <w:top w:val="single" w:color="auto" w:sz="12" w:space="0"/>
              <w:left w:val="single" w:color="auto" w:sz="4" w:space="0"/>
              <w:bottom w:val="single" w:color="auto" w:sz="12" w:space="0"/>
              <w:right w:val="single" w:color="auto" w:sz="4" w:space="0"/>
            </w:tcBorders>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电子设备及其他</w:t>
            </w:r>
          </w:p>
        </w:tc>
        <w:tc>
          <w:tcPr>
            <w:tcW w:w="765" w:type="pct"/>
            <w:tcBorders>
              <w:top w:val="single" w:color="auto" w:sz="12" w:space="0"/>
              <w:left w:val="single" w:color="auto" w:sz="4" w:space="0"/>
              <w:bottom w:val="single" w:color="auto" w:sz="12" w:space="0"/>
              <w:right w:val="nil"/>
            </w:tcBorders>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合计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12" w:space="0"/>
              <w:left w:val="nil"/>
              <w:bottom w:val="single" w:color="auto" w:sz="4" w:space="0"/>
              <w:right w:val="single" w:color="auto" w:sz="4" w:space="0"/>
            </w:tcBorders>
            <w:vAlign w:val="bottom"/>
          </w:tcPr>
          <w:p>
            <w:pPr>
              <w:ind w:firstLine="88" w:firstLineChars="49"/>
              <w:rPr>
                <w:rFonts w:ascii="宋体" w:hAnsi="宋体"/>
                <w:b/>
                <w:color w:val="auto"/>
                <w:sz w:val="18"/>
                <w:szCs w:val="18"/>
              </w:rPr>
            </w:pPr>
            <w:r>
              <w:rPr>
                <w:rFonts w:hint="eastAsia" w:ascii="宋体" w:hAnsi="宋体"/>
                <w:b/>
                <w:color w:val="auto"/>
                <w:sz w:val="18"/>
                <w:szCs w:val="18"/>
              </w:rPr>
              <w:t>一、账面原值</w:t>
            </w:r>
          </w:p>
        </w:tc>
        <w:tc>
          <w:tcPr>
            <w:tcW w:w="843" w:type="pct"/>
            <w:tcBorders>
              <w:top w:val="single" w:color="auto" w:sz="12" w:space="0"/>
              <w:left w:val="single" w:color="auto" w:sz="4" w:space="0"/>
              <w:bottom w:val="single" w:color="auto" w:sz="4" w:space="0"/>
              <w:right w:val="single" w:color="auto" w:sz="4" w:space="0"/>
            </w:tcBorders>
            <w:vAlign w:val="bottom"/>
          </w:tcPr>
          <w:p>
            <w:pPr>
              <w:jc w:val="right"/>
              <w:rPr>
                <w:rFonts w:asciiTheme="minorEastAsia" w:hAnsiTheme="minorEastAsia" w:eastAsiaTheme="minorEastAsia"/>
                <w:color w:val="auto"/>
                <w:sz w:val="18"/>
                <w:szCs w:val="18"/>
              </w:rPr>
            </w:pPr>
          </w:p>
        </w:tc>
        <w:tc>
          <w:tcPr>
            <w:tcW w:w="767" w:type="pct"/>
            <w:tcBorders>
              <w:top w:val="single" w:color="auto" w:sz="12" w:space="0"/>
              <w:left w:val="single" w:color="auto" w:sz="4" w:space="0"/>
              <w:bottom w:val="single" w:color="auto" w:sz="4" w:space="0"/>
              <w:right w:val="single" w:color="auto" w:sz="4" w:space="0"/>
            </w:tcBorders>
            <w:vAlign w:val="bottom"/>
          </w:tcPr>
          <w:p>
            <w:pPr>
              <w:jc w:val="right"/>
              <w:rPr>
                <w:rFonts w:asciiTheme="minorEastAsia" w:hAnsiTheme="minorEastAsia" w:eastAsiaTheme="minorEastAsia"/>
                <w:color w:val="auto"/>
                <w:sz w:val="18"/>
                <w:szCs w:val="18"/>
              </w:rPr>
            </w:pPr>
          </w:p>
        </w:tc>
        <w:tc>
          <w:tcPr>
            <w:tcW w:w="660" w:type="pct"/>
            <w:tcBorders>
              <w:top w:val="single" w:color="auto" w:sz="12" w:space="0"/>
              <w:left w:val="single" w:color="auto" w:sz="4" w:space="0"/>
              <w:bottom w:val="single" w:color="auto" w:sz="4" w:space="0"/>
              <w:right w:val="single" w:color="auto" w:sz="4" w:space="0"/>
            </w:tcBorders>
            <w:vAlign w:val="bottom"/>
          </w:tcPr>
          <w:p>
            <w:pPr>
              <w:jc w:val="right"/>
              <w:rPr>
                <w:rFonts w:asciiTheme="minorEastAsia" w:hAnsiTheme="minorEastAsia" w:eastAsiaTheme="minorEastAsia"/>
                <w:color w:val="auto"/>
                <w:sz w:val="18"/>
                <w:szCs w:val="18"/>
              </w:rPr>
            </w:pPr>
          </w:p>
        </w:tc>
        <w:tc>
          <w:tcPr>
            <w:tcW w:w="797" w:type="pct"/>
            <w:tcBorders>
              <w:top w:val="single" w:color="auto" w:sz="12" w:space="0"/>
              <w:left w:val="single" w:color="auto" w:sz="4" w:space="0"/>
              <w:bottom w:val="single" w:color="auto" w:sz="4" w:space="0"/>
              <w:right w:val="single" w:color="auto" w:sz="4" w:space="0"/>
            </w:tcBorders>
            <w:vAlign w:val="bottom"/>
          </w:tcPr>
          <w:p>
            <w:pPr>
              <w:jc w:val="right"/>
              <w:rPr>
                <w:rFonts w:asciiTheme="minorEastAsia" w:hAnsiTheme="minorEastAsia" w:eastAsiaTheme="minorEastAsia"/>
                <w:color w:val="auto"/>
                <w:sz w:val="18"/>
                <w:szCs w:val="18"/>
              </w:rPr>
            </w:pPr>
          </w:p>
        </w:tc>
        <w:tc>
          <w:tcPr>
            <w:tcW w:w="765" w:type="pct"/>
            <w:tcBorders>
              <w:top w:val="single" w:color="auto" w:sz="12" w:space="0"/>
              <w:left w:val="single" w:color="auto" w:sz="4" w:space="0"/>
              <w:bottom w:val="single" w:color="auto" w:sz="4" w:space="0"/>
              <w:right w:val="nil"/>
            </w:tcBorders>
            <w:vAlign w:val="bottom"/>
          </w:tcPr>
          <w:p>
            <w:pPr>
              <w:jc w:val="right"/>
              <w:rPr>
                <w:rFonts w:asciiTheme="minorEastAsia" w:hAnsiTheme="minorEastAsia" w:eastAsiaTheme="minorEastAsia"/>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6"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1.期初余额</w:t>
            </w:r>
          </w:p>
        </w:tc>
        <w:tc>
          <w:tcPr>
            <w:tcW w:w="843" w:type="pct"/>
            <w:tcBorders>
              <w:top w:val="single" w:color="auto" w:sz="4" w:space="0"/>
              <w:left w:val="single" w:color="auto" w:sz="4" w:space="0"/>
              <w:bottom w:val="single" w:color="auto" w:sz="6"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160,806,010.18 </w:t>
            </w:r>
          </w:p>
        </w:tc>
        <w:tc>
          <w:tcPr>
            <w:tcW w:w="767" w:type="pct"/>
            <w:tcBorders>
              <w:top w:val="single" w:color="auto" w:sz="4" w:space="0"/>
              <w:left w:val="single" w:color="auto" w:sz="4" w:space="0"/>
              <w:bottom w:val="single" w:color="auto" w:sz="6"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193,974,502.82 </w:t>
            </w:r>
          </w:p>
        </w:tc>
        <w:tc>
          <w:tcPr>
            <w:tcW w:w="660" w:type="pct"/>
            <w:tcBorders>
              <w:top w:val="single" w:color="auto" w:sz="4" w:space="0"/>
              <w:left w:val="single" w:color="auto" w:sz="4" w:space="0"/>
              <w:bottom w:val="single" w:color="auto" w:sz="6"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5,793,251.72 </w:t>
            </w:r>
          </w:p>
        </w:tc>
        <w:tc>
          <w:tcPr>
            <w:tcW w:w="797" w:type="pct"/>
            <w:tcBorders>
              <w:top w:val="single" w:color="auto" w:sz="4" w:space="0"/>
              <w:left w:val="single" w:color="auto" w:sz="4" w:space="0"/>
              <w:bottom w:val="single" w:color="auto" w:sz="6"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11,618,162.76 </w:t>
            </w:r>
          </w:p>
        </w:tc>
        <w:tc>
          <w:tcPr>
            <w:tcW w:w="765" w:type="pct"/>
            <w:tcBorders>
              <w:top w:val="single" w:color="auto" w:sz="4" w:space="0"/>
              <w:left w:val="single" w:color="auto" w:sz="4" w:space="0"/>
              <w:bottom w:val="single" w:color="auto" w:sz="6"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372,191,927.48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2.本期增加金额</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12,974,443.87</w:t>
            </w: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4,300,481.61</w:t>
            </w: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232,831.85</w:t>
            </w: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3,699,995.25</w:t>
            </w: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21,207,752.58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1）购置</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898,053.14</w:t>
            </w: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232,831.85</w:t>
            </w: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827,638.15</w:t>
            </w: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1,958,523.14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2）在建工程转入</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8,926,054.06</w:t>
            </w: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3,402,428.47</w:t>
            </w: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2,872,357.10</w:t>
            </w: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15,200,839.63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w:t>
            </w:r>
            <w:r>
              <w:rPr>
                <w:rFonts w:ascii="宋体" w:hAnsi="宋体"/>
                <w:color w:val="auto"/>
                <w:sz w:val="18"/>
                <w:szCs w:val="18"/>
              </w:rPr>
              <w:t>3）投资性房地产转入</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4,048,389.81</w:t>
            </w: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4,048,389.81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3.本期减少金额</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6,324,679.35</w:t>
            </w: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1,603,895.16</w:t>
            </w: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3,017,624.95</w:t>
            </w: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10,946,199.46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1）处置或报废</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1,603,895.16</w:t>
            </w: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3,011,638.87</w:t>
            </w: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4,615,534.03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2）转入投资性房地产</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3）</w:t>
            </w:r>
            <w:r>
              <w:rPr>
                <w:rFonts w:hint="eastAsia" w:ascii="宋体" w:hAnsi="宋体"/>
                <w:color w:val="auto"/>
                <w:kern w:val="0"/>
                <w:sz w:val="18"/>
                <w:szCs w:val="18"/>
              </w:rPr>
              <w:t>处置</w:t>
            </w:r>
            <w:r>
              <w:rPr>
                <w:rFonts w:ascii="宋体" w:hAnsi="宋体"/>
                <w:color w:val="auto"/>
                <w:kern w:val="0"/>
                <w:sz w:val="18"/>
                <w:szCs w:val="18"/>
              </w:rPr>
              <w:t>子公司减少</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6,324,679.35</w:t>
            </w: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5,986.08</w:t>
            </w: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6,330,665.43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ind w:firstLine="88" w:firstLineChars="49"/>
              <w:rPr>
                <w:rFonts w:ascii="宋体" w:hAnsi="宋体"/>
                <w:color w:val="auto"/>
                <w:sz w:val="18"/>
                <w:szCs w:val="18"/>
              </w:rPr>
            </w:pPr>
            <w:r>
              <w:rPr>
                <w:rFonts w:ascii="宋体" w:hAnsi="宋体"/>
                <w:color w:val="auto"/>
                <w:sz w:val="18"/>
                <w:szCs w:val="18"/>
              </w:rPr>
              <w:t>4.期末余额</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167,455,774.70</w:t>
            </w: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196,671,089.27</w:t>
            </w: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6,026,083.57</w:t>
            </w: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12,300,533.06</w:t>
            </w: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382,453,480.60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ind w:firstLine="90" w:firstLineChars="50"/>
              <w:rPr>
                <w:rFonts w:ascii="宋体" w:hAnsi="宋体"/>
                <w:b/>
                <w:color w:val="auto"/>
                <w:kern w:val="0"/>
                <w:sz w:val="18"/>
                <w:szCs w:val="18"/>
              </w:rPr>
            </w:pPr>
            <w:r>
              <w:rPr>
                <w:rFonts w:hint="eastAsia" w:ascii="宋体" w:hAnsi="宋体"/>
                <w:b/>
                <w:color w:val="auto"/>
                <w:kern w:val="0"/>
                <w:sz w:val="18"/>
                <w:szCs w:val="18"/>
              </w:rPr>
              <w:t>二、累计折旧</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1.期初余额</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53,999,886.06</w:t>
            </w: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56,726,230.26</w:t>
            </w: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4,524,190.55</w:t>
            </w: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6,728,748.62</w:t>
            </w: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121,979,055.49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2.本期增加金额</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8,443,604.97</w:t>
            </w: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13,975,458.58</w:t>
            </w: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377,231.94</w:t>
            </w: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2,150,163.49</w:t>
            </w: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24,946,458.98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1）计提</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7,434,627.61</w:t>
            </w: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13,975,458.58</w:t>
            </w: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377,231.94</w:t>
            </w: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2,150,163.49</w:t>
            </w: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23,937,481.62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2）投资性房地产转入</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1,008,977.36</w:t>
            </w: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1,008,977.36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3.本期减少金额</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1,538,254.80</w:t>
            </w: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983,171.21</w:t>
            </w: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814,551.50</w:t>
            </w: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3,335,977.51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w:t>
            </w:r>
            <w:r>
              <w:rPr>
                <w:rFonts w:ascii="宋体" w:hAnsi="宋体"/>
                <w:color w:val="auto"/>
                <w:sz w:val="18"/>
                <w:szCs w:val="18"/>
              </w:rPr>
              <w:t>1）处置或报废</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983,171.21</w:t>
            </w: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809,624.10</w:t>
            </w: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1,792,795.31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2）转入投资性房地产</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3）</w:t>
            </w:r>
            <w:r>
              <w:rPr>
                <w:rFonts w:hint="eastAsia" w:ascii="宋体" w:hAnsi="宋体"/>
                <w:color w:val="auto"/>
                <w:kern w:val="0"/>
                <w:sz w:val="18"/>
                <w:szCs w:val="18"/>
              </w:rPr>
              <w:t>处置</w:t>
            </w:r>
            <w:r>
              <w:rPr>
                <w:rFonts w:ascii="宋体" w:hAnsi="宋体"/>
                <w:color w:val="auto"/>
                <w:kern w:val="0"/>
                <w:sz w:val="18"/>
                <w:szCs w:val="18"/>
              </w:rPr>
              <w:t>子公司减少</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1,538,254.80</w:t>
            </w: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4,927.40</w:t>
            </w: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1,543,182.20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4.期末余额</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60,905,236.23</w:t>
            </w: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69,718,517.63</w:t>
            </w: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4,901,422.49</w:t>
            </w: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8,064,360.61</w:t>
            </w: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143,589,536.96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ind w:firstLine="90" w:firstLineChars="50"/>
              <w:rPr>
                <w:rFonts w:ascii="宋体" w:hAnsi="宋体"/>
                <w:b/>
                <w:color w:val="auto"/>
                <w:kern w:val="0"/>
                <w:sz w:val="18"/>
                <w:szCs w:val="18"/>
              </w:rPr>
            </w:pPr>
            <w:r>
              <w:rPr>
                <w:rFonts w:hint="eastAsia" w:ascii="宋体" w:hAnsi="宋体"/>
                <w:b/>
                <w:color w:val="auto"/>
                <w:kern w:val="0"/>
                <w:sz w:val="18"/>
                <w:szCs w:val="18"/>
              </w:rPr>
              <w:t>三、减值准备</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1.期初余额</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2.本期增加金额</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1）计提</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sz w:val="18"/>
                <w:szCs w:val="18"/>
              </w:rPr>
            </w:pPr>
            <w:r>
              <w:rPr>
                <w:rFonts w:ascii="宋体" w:hAnsi="宋体"/>
                <w:color w:val="auto"/>
                <w:sz w:val="18"/>
                <w:szCs w:val="18"/>
              </w:rPr>
              <w:t>3.本期减少金额</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1）处置或报废</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sz w:val="18"/>
                <w:szCs w:val="18"/>
              </w:rPr>
            </w:pPr>
            <w:r>
              <w:rPr>
                <w:rFonts w:ascii="宋体" w:hAnsi="宋体"/>
                <w:color w:val="auto"/>
                <w:sz w:val="18"/>
                <w:szCs w:val="18"/>
              </w:rPr>
              <w:t>4.期末余额</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ind w:firstLine="90" w:firstLineChars="50"/>
              <w:rPr>
                <w:rFonts w:ascii="宋体" w:hAnsi="宋体"/>
                <w:b/>
                <w:color w:val="auto"/>
                <w:sz w:val="18"/>
                <w:szCs w:val="18"/>
              </w:rPr>
            </w:pPr>
            <w:r>
              <w:rPr>
                <w:rFonts w:hint="eastAsia" w:ascii="宋体" w:hAnsi="宋体"/>
                <w:b/>
                <w:color w:val="auto"/>
                <w:sz w:val="18"/>
                <w:szCs w:val="18"/>
              </w:rPr>
              <w:t>四、账面价值</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sz w:val="18"/>
                <w:szCs w:val="18"/>
              </w:rPr>
            </w:pPr>
            <w:r>
              <w:rPr>
                <w:rFonts w:ascii="宋体" w:hAnsi="宋体"/>
                <w:color w:val="auto"/>
                <w:sz w:val="18"/>
                <w:szCs w:val="18"/>
              </w:rPr>
              <w:t>1.期末账面价值</w:t>
            </w:r>
          </w:p>
        </w:tc>
        <w:tc>
          <w:tcPr>
            <w:tcW w:w="843"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106,550,538.47</w:t>
            </w:r>
          </w:p>
        </w:tc>
        <w:tc>
          <w:tcPr>
            <w:tcW w:w="76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126,952,571.64</w:t>
            </w:r>
          </w:p>
        </w:tc>
        <w:tc>
          <w:tcPr>
            <w:tcW w:w="660"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1,124,661.08</w:t>
            </w:r>
          </w:p>
        </w:tc>
        <w:tc>
          <w:tcPr>
            <w:tcW w:w="797"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4,236,172.45</w:t>
            </w:r>
          </w:p>
        </w:tc>
        <w:tc>
          <w:tcPr>
            <w:tcW w:w="765" w:type="pct"/>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238,863,943.64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1168" w:type="pct"/>
            <w:tcBorders>
              <w:top w:val="single" w:color="auto" w:sz="4" w:space="0"/>
              <w:left w:val="nil"/>
              <w:bottom w:val="single" w:color="auto" w:sz="12" w:space="0"/>
              <w:right w:val="single" w:color="auto" w:sz="4" w:space="0"/>
            </w:tcBorders>
            <w:vAlign w:val="bottom"/>
          </w:tcPr>
          <w:p>
            <w:pPr>
              <w:ind w:firstLine="90" w:firstLineChars="50"/>
              <w:rPr>
                <w:rFonts w:ascii="宋体" w:hAnsi="宋体"/>
                <w:color w:val="auto"/>
                <w:sz w:val="18"/>
                <w:szCs w:val="18"/>
              </w:rPr>
            </w:pPr>
            <w:r>
              <w:rPr>
                <w:rFonts w:ascii="宋体" w:hAnsi="宋体"/>
                <w:color w:val="auto"/>
                <w:sz w:val="18"/>
                <w:szCs w:val="18"/>
              </w:rPr>
              <w:t>2.期初账面价值</w:t>
            </w:r>
          </w:p>
        </w:tc>
        <w:tc>
          <w:tcPr>
            <w:tcW w:w="843" w:type="pct"/>
            <w:tcBorders>
              <w:top w:val="single" w:color="auto" w:sz="4"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106,806,124.12 </w:t>
            </w:r>
          </w:p>
        </w:tc>
        <w:tc>
          <w:tcPr>
            <w:tcW w:w="767" w:type="pct"/>
            <w:tcBorders>
              <w:top w:val="single" w:color="auto" w:sz="4"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137,248,272.56 </w:t>
            </w:r>
          </w:p>
        </w:tc>
        <w:tc>
          <w:tcPr>
            <w:tcW w:w="660" w:type="pct"/>
            <w:tcBorders>
              <w:top w:val="single" w:color="auto" w:sz="4"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1,269,061.17 </w:t>
            </w:r>
          </w:p>
        </w:tc>
        <w:tc>
          <w:tcPr>
            <w:tcW w:w="797" w:type="pct"/>
            <w:tcBorders>
              <w:top w:val="single" w:color="auto" w:sz="4"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4,889,414.14 </w:t>
            </w:r>
          </w:p>
        </w:tc>
        <w:tc>
          <w:tcPr>
            <w:tcW w:w="765" w:type="pct"/>
            <w:tcBorders>
              <w:top w:val="single" w:color="auto" w:sz="4" w:space="0"/>
              <w:left w:val="single" w:color="auto" w:sz="4" w:space="0"/>
              <w:bottom w:val="single" w:color="auto" w:sz="12"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250,212,871.99 </w:t>
            </w:r>
          </w:p>
        </w:tc>
      </w:tr>
    </w:tbl>
    <w:p>
      <w:pPr>
        <w:widowControl/>
        <w:spacing w:before="150" w:beforeLines="50" w:after="150" w:afterLines="50" w:line="360" w:lineRule="auto"/>
        <w:ind w:firstLine="420" w:firstLineChars="200"/>
        <w:rPr>
          <w:rFonts w:ascii="宋体" w:hAnsi="宋体" w:cs="宋体"/>
          <w:color w:val="auto"/>
          <w:kern w:val="0"/>
          <w:szCs w:val="21"/>
        </w:rPr>
      </w:pPr>
      <w:r>
        <w:rPr>
          <w:rFonts w:hint="eastAsia" w:ascii="宋体" w:hAnsi="宋体"/>
          <w:color w:val="auto"/>
          <w:szCs w:val="21"/>
        </w:rPr>
        <w:t>②</w:t>
      </w:r>
      <w:r>
        <w:rPr>
          <w:rFonts w:hint="eastAsia" w:ascii="宋体" w:hAnsi="宋体" w:cs="宋体"/>
          <w:color w:val="auto"/>
          <w:kern w:val="0"/>
          <w:szCs w:val="21"/>
        </w:rPr>
        <w:t>截至202</w:t>
      </w:r>
      <w:r>
        <w:rPr>
          <w:rFonts w:ascii="宋体" w:hAnsi="宋体" w:cs="宋体"/>
          <w:color w:val="auto"/>
          <w:kern w:val="0"/>
          <w:szCs w:val="21"/>
        </w:rPr>
        <w:t>2</w:t>
      </w:r>
      <w:r>
        <w:rPr>
          <w:rFonts w:hint="eastAsia" w:ascii="宋体" w:hAnsi="宋体" w:cs="宋体"/>
          <w:color w:val="auto"/>
          <w:kern w:val="0"/>
          <w:szCs w:val="21"/>
        </w:rPr>
        <w:t>年12月31日，未办妥产权证书的固定资产情况：</w:t>
      </w:r>
    </w:p>
    <w:tbl>
      <w:tblPr>
        <w:tblStyle w:val="9"/>
        <w:tblW w:w="5000" w:type="pct"/>
        <w:jc w:val="center"/>
        <w:tblLayout w:type="autofit"/>
        <w:tblCellMar>
          <w:top w:w="0" w:type="dxa"/>
          <w:left w:w="107" w:type="dxa"/>
          <w:bottom w:w="0" w:type="dxa"/>
          <w:right w:w="107" w:type="dxa"/>
        </w:tblCellMar>
      </w:tblPr>
      <w:tblGrid>
        <w:gridCol w:w="3278"/>
        <w:gridCol w:w="3286"/>
        <w:gridCol w:w="3287"/>
      </w:tblGrid>
      <w:tr>
        <w:tblPrEx>
          <w:tblCellMar>
            <w:top w:w="0" w:type="dxa"/>
            <w:left w:w="107" w:type="dxa"/>
            <w:bottom w:w="0" w:type="dxa"/>
            <w:right w:w="107" w:type="dxa"/>
          </w:tblCellMar>
        </w:tblPrEx>
        <w:trPr>
          <w:cantSplit/>
          <w:trHeight w:val="454" w:hRule="atLeast"/>
          <w:jc w:val="center"/>
        </w:trPr>
        <w:tc>
          <w:tcPr>
            <w:tcW w:w="1664" w:type="pct"/>
            <w:tcBorders>
              <w:top w:val="single" w:color="000000" w:sz="12" w:space="0"/>
              <w:left w:val="nil"/>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项目</w:t>
            </w:r>
          </w:p>
        </w:tc>
        <w:tc>
          <w:tcPr>
            <w:tcW w:w="1668" w:type="pct"/>
            <w:tcBorders>
              <w:top w:val="single" w:color="000000" w:sz="12"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账面价值</w:t>
            </w:r>
          </w:p>
        </w:tc>
        <w:tc>
          <w:tcPr>
            <w:tcW w:w="1668" w:type="pct"/>
            <w:tcBorders>
              <w:top w:val="single" w:color="000000" w:sz="12" w:space="0"/>
              <w:left w:val="single" w:color="auto" w:sz="4" w:space="0"/>
              <w:bottom w:val="single" w:color="auto" w:sz="12" w:space="0"/>
            </w:tcBorders>
            <w:vAlign w:val="center"/>
          </w:tcPr>
          <w:p>
            <w:pPr>
              <w:jc w:val="center"/>
              <w:rPr>
                <w:rFonts w:ascii="宋体" w:hAnsi="宋体"/>
                <w:b/>
                <w:color w:val="auto"/>
                <w:sz w:val="18"/>
                <w:szCs w:val="18"/>
              </w:rPr>
            </w:pPr>
            <w:r>
              <w:rPr>
                <w:rFonts w:ascii="宋体" w:hAnsi="宋体"/>
                <w:b/>
                <w:color w:val="auto"/>
                <w:sz w:val="18"/>
                <w:szCs w:val="18"/>
              </w:rPr>
              <w:t>未办妥产权证书的原因</w:t>
            </w:r>
          </w:p>
        </w:tc>
      </w:tr>
      <w:tr>
        <w:tblPrEx>
          <w:tblCellMar>
            <w:top w:w="0" w:type="dxa"/>
            <w:left w:w="107" w:type="dxa"/>
            <w:bottom w:w="0" w:type="dxa"/>
            <w:right w:w="107" w:type="dxa"/>
          </w:tblCellMar>
        </w:tblPrEx>
        <w:trPr>
          <w:cantSplit/>
          <w:trHeight w:val="454" w:hRule="atLeast"/>
          <w:jc w:val="center"/>
        </w:trPr>
        <w:tc>
          <w:tcPr>
            <w:tcW w:w="1664" w:type="pct"/>
            <w:tcBorders>
              <w:top w:val="single" w:color="auto" w:sz="12" w:space="0"/>
              <w:left w:val="nil"/>
              <w:bottom w:val="single" w:color="auto" w:sz="4" w:space="0"/>
              <w:right w:val="single" w:color="auto" w:sz="4" w:space="0"/>
            </w:tcBorders>
            <w:vAlign w:val="bottom"/>
          </w:tcPr>
          <w:p>
            <w:pP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莱州伟隆新厂3#车间</w:t>
            </w:r>
          </w:p>
        </w:tc>
        <w:tc>
          <w:tcPr>
            <w:tcW w:w="1668"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2,874,449.58 </w:t>
            </w:r>
          </w:p>
        </w:tc>
        <w:tc>
          <w:tcPr>
            <w:tcW w:w="1668" w:type="pct"/>
            <w:tcBorders>
              <w:top w:val="single" w:color="auto" w:sz="12" w:space="0"/>
              <w:left w:val="single" w:color="auto" w:sz="4" w:space="0"/>
              <w:bottom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正在办理</w:t>
            </w:r>
          </w:p>
        </w:tc>
      </w:tr>
      <w:tr>
        <w:trPr>
          <w:cantSplit/>
          <w:trHeight w:val="454" w:hRule="atLeast"/>
          <w:jc w:val="center"/>
        </w:trPr>
        <w:tc>
          <w:tcPr>
            <w:tcW w:w="1664" w:type="pct"/>
            <w:tcBorders>
              <w:top w:val="single" w:color="auto" w:sz="4" w:space="0"/>
              <w:left w:val="nil"/>
              <w:bottom w:val="single" w:color="auto" w:sz="12" w:space="0"/>
              <w:right w:val="single" w:color="auto" w:sz="4" w:space="0"/>
            </w:tcBorders>
            <w:vAlign w:val="bottom"/>
          </w:tcPr>
          <w:p>
            <w:pP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莱州伟隆新厂4#车间</w:t>
            </w:r>
          </w:p>
        </w:tc>
        <w:tc>
          <w:tcPr>
            <w:tcW w:w="1668" w:type="pct"/>
            <w:tcBorders>
              <w:top w:val="single" w:color="auto" w:sz="4"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4,594,270.12 </w:t>
            </w:r>
          </w:p>
        </w:tc>
        <w:tc>
          <w:tcPr>
            <w:tcW w:w="1668" w:type="pct"/>
            <w:tcBorders>
              <w:top w:val="single" w:color="auto" w:sz="4" w:space="0"/>
              <w:left w:val="single" w:color="auto" w:sz="4" w:space="0"/>
              <w:bottom w:val="single" w:color="auto" w:sz="12"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正在办理</w:t>
            </w:r>
          </w:p>
        </w:tc>
      </w:tr>
    </w:tbl>
    <w:p>
      <w:pPr>
        <w:widowControl/>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③截至202</w:t>
      </w:r>
      <w:r>
        <w:rPr>
          <w:rFonts w:ascii="宋体" w:hAnsi="宋体"/>
          <w:color w:val="auto"/>
          <w:szCs w:val="21"/>
        </w:rPr>
        <w:t>2</w:t>
      </w:r>
      <w:r>
        <w:rPr>
          <w:rFonts w:hint="eastAsia" w:ascii="宋体" w:hAnsi="宋体"/>
          <w:color w:val="auto"/>
          <w:szCs w:val="21"/>
        </w:rPr>
        <w:t>年12月31日，公司的固定资产无设定抵押情况。</w:t>
      </w:r>
    </w:p>
    <w:p>
      <w:pPr>
        <w:widowControl/>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④报告期公司固定资产未发生减值情况,故未计提减值准备。</w:t>
      </w:r>
    </w:p>
    <w:p>
      <w:pPr>
        <w:widowControl/>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⑤202</w:t>
      </w:r>
      <w:r>
        <w:rPr>
          <w:rFonts w:ascii="宋体" w:hAnsi="宋体"/>
          <w:color w:val="auto"/>
          <w:szCs w:val="21"/>
        </w:rPr>
        <w:t>2</w:t>
      </w:r>
      <w:r>
        <w:rPr>
          <w:rFonts w:hint="eastAsia" w:ascii="宋体" w:hAnsi="宋体"/>
          <w:color w:val="auto"/>
          <w:szCs w:val="21"/>
        </w:rPr>
        <w:t>年度在建工程转入增加固定资产原值为</w:t>
      </w:r>
      <w:r>
        <w:rPr>
          <w:rFonts w:ascii="宋体" w:hAnsi="宋体"/>
          <w:color w:val="auto"/>
          <w:szCs w:val="21"/>
        </w:rPr>
        <w:t>15,200,839.63</w:t>
      </w:r>
      <w:r>
        <w:rPr>
          <w:rFonts w:hint="eastAsia" w:ascii="宋体" w:hAnsi="宋体"/>
          <w:color w:val="auto"/>
          <w:szCs w:val="21"/>
        </w:rPr>
        <w:t>元。</w:t>
      </w:r>
    </w:p>
    <w:p>
      <w:pPr>
        <w:widowControl/>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⑥报告期公司无暂时闲置的固定资产情况。</w:t>
      </w:r>
    </w:p>
    <w:p>
      <w:pPr>
        <w:widowControl/>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⑦报告期公司无通过融资租赁租入的固定资产情况。</w:t>
      </w:r>
    </w:p>
    <w:p>
      <w:pPr>
        <w:spacing w:before="150" w:beforeLines="50" w:after="150" w:afterLines="50" w:line="360" w:lineRule="auto"/>
        <w:ind w:firstLine="420" w:firstLineChars="200"/>
        <w:rPr>
          <w:rFonts w:ascii="宋体" w:hAnsi="宋体"/>
          <w:b/>
          <w:color w:val="auto"/>
          <w:szCs w:val="21"/>
        </w:rPr>
      </w:pPr>
      <w:r>
        <w:rPr>
          <w:rFonts w:hint="eastAsia" w:ascii="宋体" w:hAnsi="宋体"/>
          <w:b/>
          <w:color w:val="auto"/>
          <w:szCs w:val="21"/>
        </w:rPr>
        <w:t>（2）固定资产清理：无</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13、在建工程</w:t>
      </w:r>
    </w:p>
    <w:p>
      <w:pPr>
        <w:spacing w:before="150" w:beforeLines="50" w:after="150" w:afterLines="50" w:line="360" w:lineRule="auto"/>
        <w:ind w:firstLine="411" w:firstLineChars="196"/>
        <w:rPr>
          <w:rFonts w:ascii="宋体" w:hAnsi="宋体"/>
          <w:b/>
          <w:color w:val="auto"/>
          <w:szCs w:val="21"/>
        </w:rPr>
      </w:pPr>
      <w:r>
        <w:rPr>
          <w:rFonts w:hint="eastAsia" w:ascii="宋体" w:hAnsi="宋体"/>
          <w:b/>
          <w:color w:val="auto"/>
          <w:szCs w:val="21"/>
        </w:rPr>
        <w:t>总体情况列示：</w:t>
      </w:r>
    </w:p>
    <w:tbl>
      <w:tblPr>
        <w:tblStyle w:val="9"/>
        <w:tblW w:w="0" w:type="auto"/>
        <w:tblCaption w:val="&quot;\\lisheng\共享\1、伟隆2022年度审计\1、2022年度审计\1、附注及报告\2022年\附注计算-伟隆 - 2022.xlsx&quot; &quot;2022附注格式!_ReportTable_0040&quot;"/>
        <w:tblDescription w:val="A292:C295"/>
        <w:tblInd w:w="107" w:type="dxa"/>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Layout w:type="fixed"/>
        <w:tblCellMar>
          <w:top w:w="0" w:type="dxa"/>
          <w:left w:w="107" w:type="dxa"/>
          <w:bottom w:w="0" w:type="dxa"/>
          <w:right w:w="107" w:type="dxa"/>
        </w:tblCellMar>
      </w:tblPr>
      <w:tblGrid>
        <w:gridCol w:w="2908"/>
        <w:gridCol w:w="3016"/>
        <w:gridCol w:w="3016"/>
      </w:tblGrid>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107" w:type="dxa"/>
            <w:bottom w:w="0" w:type="dxa"/>
            <w:right w:w="107" w:type="dxa"/>
          </w:tblCellMar>
        </w:tblPrEx>
        <w:trPr>
          <w:cantSplit/>
          <w:trHeight w:val="454" w:hRule="atLeast"/>
        </w:trPr>
        <w:tc>
          <w:tcPr>
            <w:tcW w:w="2908" w:type="dxa"/>
            <w:tcBorders>
              <w:bottom w:val="single" w:color="000000" w:sz="12" w:space="0"/>
            </w:tcBorders>
            <w:vAlign w:val="center"/>
          </w:tcPr>
          <w:p>
            <w:pPr>
              <w:ind w:firstLine="361"/>
              <w:jc w:val="center"/>
              <w:rPr>
                <w:rFonts w:ascii="宋体" w:hAnsi="宋体"/>
                <w:b/>
                <w:color w:val="auto"/>
                <w:sz w:val="18"/>
                <w:szCs w:val="18"/>
              </w:rPr>
            </w:pPr>
            <w:r>
              <w:rPr>
                <w:rFonts w:hint="eastAsia" w:ascii="宋体" w:hAnsi="宋体"/>
                <w:b/>
                <w:color w:val="auto"/>
                <w:sz w:val="18"/>
                <w:szCs w:val="18"/>
              </w:rPr>
              <w:t>项</w:t>
            </w:r>
            <w:r>
              <w:rPr>
                <w:rFonts w:ascii="宋体" w:hAnsi="宋体"/>
                <w:b/>
                <w:color w:val="auto"/>
                <w:sz w:val="18"/>
                <w:szCs w:val="18"/>
              </w:rPr>
              <w:t xml:space="preserve">  目</w:t>
            </w:r>
          </w:p>
        </w:tc>
        <w:tc>
          <w:tcPr>
            <w:tcW w:w="3016" w:type="dxa"/>
            <w:tcBorders>
              <w:bottom w:val="single" w:color="000000" w:sz="12" w:space="0"/>
            </w:tcBorders>
            <w:vAlign w:val="center"/>
          </w:tcPr>
          <w:p>
            <w:pPr>
              <w:ind w:firstLine="361"/>
              <w:jc w:val="center"/>
              <w:rPr>
                <w:rFonts w:ascii="宋体"/>
                <w:b/>
                <w:color w:val="auto"/>
                <w:sz w:val="18"/>
                <w:szCs w:val="18"/>
              </w:rPr>
            </w:pPr>
            <w:r>
              <w:rPr>
                <w:rFonts w:hint="eastAsia" w:ascii="宋体" w:hAnsi="宋体"/>
                <w:b/>
                <w:color w:val="auto"/>
                <w:sz w:val="18"/>
                <w:szCs w:val="18"/>
              </w:rPr>
              <w:t>期末余额</w:t>
            </w:r>
          </w:p>
        </w:tc>
        <w:tc>
          <w:tcPr>
            <w:tcW w:w="3016" w:type="dxa"/>
            <w:tcBorders>
              <w:bottom w:val="single" w:color="000000" w:sz="12" w:space="0"/>
            </w:tcBorders>
            <w:vAlign w:val="center"/>
          </w:tcPr>
          <w:p>
            <w:pPr>
              <w:ind w:firstLine="361"/>
              <w:jc w:val="center"/>
              <w:rPr>
                <w:rFonts w:ascii="宋体"/>
                <w:b/>
                <w:color w:val="auto"/>
                <w:sz w:val="18"/>
                <w:szCs w:val="18"/>
              </w:rPr>
            </w:pPr>
            <w:r>
              <w:rPr>
                <w:rFonts w:hint="eastAsia" w:ascii="宋体" w:hAnsi="宋体"/>
                <w:b/>
                <w:color w:val="auto"/>
                <w:sz w:val="18"/>
                <w:szCs w:val="18"/>
              </w:rPr>
              <w:t>期初余额</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107" w:type="dxa"/>
            <w:bottom w:w="0" w:type="dxa"/>
            <w:right w:w="107" w:type="dxa"/>
          </w:tblCellMar>
        </w:tblPrEx>
        <w:trPr>
          <w:cantSplit/>
          <w:trHeight w:val="454" w:hRule="atLeast"/>
        </w:trPr>
        <w:tc>
          <w:tcPr>
            <w:tcW w:w="2908" w:type="dxa"/>
            <w:tcBorders>
              <w:bottom w:val="single" w:color="auto" w:sz="4" w:space="0"/>
            </w:tcBorders>
            <w:vAlign w:val="bottom"/>
          </w:tcPr>
          <w:p>
            <w:pPr>
              <w:rPr>
                <w:rFonts w:ascii="宋体" w:hAnsi="宋体"/>
                <w:color w:val="auto"/>
                <w:sz w:val="18"/>
                <w:szCs w:val="18"/>
              </w:rPr>
            </w:pPr>
            <w:r>
              <w:rPr>
                <w:rFonts w:hint="eastAsia" w:ascii="宋体" w:hAnsi="宋体"/>
                <w:color w:val="auto"/>
                <w:sz w:val="18"/>
                <w:szCs w:val="18"/>
              </w:rPr>
              <w:t>在建工程</w:t>
            </w:r>
          </w:p>
        </w:tc>
        <w:tc>
          <w:tcPr>
            <w:tcW w:w="3016" w:type="dxa"/>
            <w:tcBorders>
              <w:bottom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5,087,629.59</w:t>
            </w:r>
          </w:p>
        </w:tc>
        <w:tc>
          <w:tcPr>
            <w:tcW w:w="3016" w:type="dxa"/>
            <w:tcBorders>
              <w:bottom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4,649,676.26 </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107" w:type="dxa"/>
            <w:bottom w:w="0" w:type="dxa"/>
            <w:right w:w="107" w:type="dxa"/>
          </w:tblCellMar>
        </w:tblPrEx>
        <w:trPr>
          <w:cantSplit/>
          <w:trHeight w:val="454" w:hRule="atLeast"/>
        </w:trPr>
        <w:tc>
          <w:tcPr>
            <w:tcW w:w="2908" w:type="dxa"/>
            <w:tcBorders>
              <w:top w:val="single" w:color="auto" w:sz="4" w:space="0"/>
            </w:tcBorders>
            <w:vAlign w:val="bottom"/>
          </w:tcPr>
          <w:p>
            <w:pPr>
              <w:rPr>
                <w:rFonts w:ascii="宋体" w:hAnsi="宋体"/>
                <w:color w:val="auto"/>
                <w:sz w:val="18"/>
                <w:szCs w:val="18"/>
              </w:rPr>
            </w:pPr>
            <w:r>
              <w:rPr>
                <w:rFonts w:hint="eastAsia" w:ascii="宋体" w:hAnsi="宋体"/>
                <w:color w:val="auto"/>
                <w:sz w:val="18"/>
                <w:szCs w:val="18"/>
              </w:rPr>
              <w:t>工程物资</w:t>
            </w:r>
          </w:p>
        </w:tc>
        <w:tc>
          <w:tcPr>
            <w:tcW w:w="3016" w:type="dxa"/>
            <w:tcBorders>
              <w:top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3016" w:type="dxa"/>
            <w:tcBorders>
              <w:top w:val="single" w:color="auto" w:sz="4" w:space="0"/>
            </w:tcBorders>
            <w:vAlign w:val="bottom"/>
          </w:tcPr>
          <w:p>
            <w:pPr>
              <w:jc w:val="right"/>
              <w:rPr>
                <w:rFonts w:cs="宋体" w:asciiTheme="minorEastAsia" w:hAnsiTheme="minorEastAsia" w:eastAsiaTheme="minorEastAsia"/>
                <w:color w:val="auto"/>
                <w:sz w:val="18"/>
                <w:szCs w:val="18"/>
              </w:rPr>
            </w:pP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107" w:type="dxa"/>
            <w:bottom w:w="0" w:type="dxa"/>
            <w:right w:w="107" w:type="dxa"/>
          </w:tblCellMar>
        </w:tblPrEx>
        <w:trPr>
          <w:cantSplit/>
          <w:trHeight w:val="454" w:hRule="atLeast"/>
        </w:trPr>
        <w:tc>
          <w:tcPr>
            <w:tcW w:w="2908" w:type="dxa"/>
            <w:vAlign w:val="bottom"/>
          </w:tcPr>
          <w:p>
            <w:pPr>
              <w:jc w:val="center"/>
              <w:rPr>
                <w:rFonts w:ascii="宋体" w:hAnsi="宋体"/>
                <w:b/>
                <w:color w:val="auto"/>
                <w:sz w:val="18"/>
                <w:szCs w:val="18"/>
              </w:rPr>
            </w:pPr>
            <w:r>
              <w:rPr>
                <w:rFonts w:hint="eastAsia" w:ascii="宋体" w:hAnsi="宋体"/>
                <w:b/>
                <w:color w:val="auto"/>
                <w:sz w:val="18"/>
                <w:szCs w:val="18"/>
              </w:rPr>
              <w:t>合计</w:t>
            </w:r>
          </w:p>
        </w:tc>
        <w:tc>
          <w:tcPr>
            <w:tcW w:w="3016" w:type="dxa"/>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5,087,629.59</w:t>
            </w:r>
          </w:p>
        </w:tc>
        <w:tc>
          <w:tcPr>
            <w:tcW w:w="3016" w:type="dxa"/>
            <w:vAlign w:val="bottom"/>
          </w:tcPr>
          <w:p>
            <w:pPr>
              <w:jc w:val="right"/>
              <w:rPr>
                <w:rFonts w:cs="宋体" w:asciiTheme="minorEastAsia" w:hAnsiTheme="minorEastAsia" w:eastAsiaTheme="minorEastAsia"/>
                <w:b/>
                <w:bCs/>
                <w:color w:val="auto"/>
                <w:sz w:val="18"/>
                <w:szCs w:val="18"/>
              </w:rPr>
            </w:pPr>
            <w:r>
              <w:rPr>
                <w:rFonts w:ascii="宋体" w:hAnsi="宋体" w:cs="宋体"/>
                <w:b/>
                <w:bCs/>
                <w:color w:val="auto"/>
                <w:kern w:val="0"/>
                <w:sz w:val="18"/>
                <w:szCs w:val="18"/>
              </w:rPr>
              <w:t xml:space="preserve">4,649,676.26 </w:t>
            </w:r>
          </w:p>
        </w:tc>
      </w:tr>
    </w:tbl>
    <w:p>
      <w:pPr>
        <w:widowControl/>
        <w:spacing w:before="150" w:beforeLines="50" w:after="150" w:afterLines="50" w:line="360" w:lineRule="auto"/>
        <w:ind w:firstLine="420" w:firstLineChars="200"/>
        <w:rPr>
          <w:rFonts w:ascii="宋体" w:hAnsi="宋体" w:cs="宋体"/>
          <w:b/>
          <w:color w:val="auto"/>
          <w:kern w:val="0"/>
          <w:szCs w:val="21"/>
        </w:rPr>
      </w:pPr>
      <w:r>
        <w:rPr>
          <w:rFonts w:hint="eastAsia" w:ascii="宋体" w:hAnsi="宋体" w:cs="宋体"/>
          <w:b/>
          <w:color w:val="auto"/>
          <w:kern w:val="0"/>
          <w:szCs w:val="21"/>
        </w:rPr>
        <w:t>（1）在建工程</w:t>
      </w:r>
    </w:p>
    <w:p>
      <w:pPr>
        <w:widowControl/>
        <w:spacing w:before="150" w:beforeLines="50" w:after="150" w:afterLines="50" w:line="360" w:lineRule="auto"/>
        <w:ind w:firstLine="420" w:firstLineChars="200"/>
        <w:rPr>
          <w:rFonts w:ascii="宋体" w:hAnsi="宋体" w:cs="宋体"/>
          <w:color w:val="auto"/>
          <w:kern w:val="0"/>
          <w:szCs w:val="21"/>
        </w:rPr>
      </w:pPr>
      <w:r>
        <w:rPr>
          <w:rFonts w:hint="eastAsia" w:ascii="宋体" w:hAnsi="宋体" w:cs="宋体"/>
          <w:color w:val="auto"/>
          <w:kern w:val="0"/>
          <w:szCs w:val="21"/>
        </w:rPr>
        <w:t>①在建工程情况：</w:t>
      </w:r>
    </w:p>
    <w:tbl>
      <w:tblPr>
        <w:tblStyle w:val="9"/>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31" w:type="dxa"/>
          <w:bottom w:w="0" w:type="dxa"/>
          <w:right w:w="31" w:type="dxa"/>
        </w:tblCellMar>
      </w:tblPr>
      <w:tblGrid>
        <w:gridCol w:w="1441"/>
        <w:gridCol w:w="1468"/>
        <w:gridCol w:w="1253"/>
        <w:gridCol w:w="1567"/>
        <w:gridCol w:w="1509"/>
        <w:gridCol w:w="953"/>
        <w:gridCol w:w="15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743" w:type="pct"/>
            <w:vMerge w:val="restart"/>
            <w:tcBorders>
              <w:top w:val="single" w:color="auto" w:sz="12" w:space="0"/>
              <w:left w:val="nil"/>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项</w:t>
            </w:r>
            <w:r>
              <w:rPr>
                <w:rFonts w:ascii="宋体" w:hAnsi="宋体"/>
                <w:b/>
                <w:color w:val="auto"/>
                <w:sz w:val="18"/>
                <w:szCs w:val="18"/>
              </w:rPr>
              <w:t>目</w:t>
            </w:r>
          </w:p>
        </w:tc>
        <w:tc>
          <w:tcPr>
            <w:tcW w:w="2211" w:type="pct"/>
            <w:gridSpan w:val="3"/>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期末余额</w:t>
            </w:r>
          </w:p>
        </w:tc>
        <w:tc>
          <w:tcPr>
            <w:tcW w:w="2046" w:type="pct"/>
            <w:gridSpan w:val="3"/>
            <w:tcBorders>
              <w:top w:val="single" w:color="auto" w:sz="12" w:space="0"/>
              <w:left w:val="single" w:color="auto" w:sz="4" w:space="0"/>
              <w:bottom w:val="single" w:color="auto" w:sz="4" w:space="0"/>
              <w:right w:val="nil"/>
            </w:tcBorders>
            <w:vAlign w:val="center"/>
          </w:tcPr>
          <w:p>
            <w:pPr>
              <w:jc w:val="center"/>
              <w:rPr>
                <w:rFonts w:ascii="宋体" w:hAnsi="宋体"/>
                <w:b/>
                <w:color w:val="auto"/>
                <w:sz w:val="18"/>
                <w:szCs w:val="18"/>
              </w:rPr>
            </w:pPr>
            <w:r>
              <w:rPr>
                <w:rFonts w:hint="eastAsia" w:ascii="宋体" w:hAnsi="宋体"/>
                <w:b/>
                <w:color w:val="auto"/>
                <w:sz w:val="18"/>
                <w:szCs w:val="18"/>
              </w:rPr>
              <w:t>期初余额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743" w:type="pct"/>
            <w:vMerge w:val="continue"/>
            <w:tcBorders>
              <w:top w:val="single" w:color="auto" w:sz="12" w:space="0"/>
              <w:left w:val="nil"/>
              <w:bottom w:val="single" w:color="auto" w:sz="12" w:space="0"/>
              <w:right w:val="single" w:color="auto" w:sz="4" w:space="0"/>
            </w:tcBorders>
            <w:vAlign w:val="center"/>
          </w:tcPr>
          <w:p>
            <w:pPr>
              <w:widowControl/>
              <w:jc w:val="left"/>
              <w:rPr>
                <w:rFonts w:ascii="宋体" w:hAnsi="宋体"/>
                <w:b/>
                <w:color w:val="auto"/>
                <w:sz w:val="18"/>
                <w:szCs w:val="18"/>
              </w:rPr>
            </w:pPr>
          </w:p>
        </w:tc>
        <w:tc>
          <w:tcPr>
            <w:tcW w:w="757"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账面余额</w:t>
            </w:r>
          </w:p>
        </w:tc>
        <w:tc>
          <w:tcPr>
            <w:tcW w:w="646"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减值准备</w:t>
            </w:r>
          </w:p>
        </w:tc>
        <w:tc>
          <w:tcPr>
            <w:tcW w:w="808"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账面净值</w:t>
            </w:r>
          </w:p>
        </w:tc>
        <w:tc>
          <w:tcPr>
            <w:tcW w:w="778"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账面余额</w:t>
            </w:r>
          </w:p>
        </w:tc>
        <w:tc>
          <w:tcPr>
            <w:tcW w:w="491"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减值准备</w:t>
            </w:r>
          </w:p>
        </w:tc>
        <w:tc>
          <w:tcPr>
            <w:tcW w:w="777" w:type="pct"/>
            <w:tcBorders>
              <w:top w:val="single" w:color="auto" w:sz="4" w:space="0"/>
              <w:left w:val="single" w:color="auto" w:sz="4" w:space="0"/>
              <w:bottom w:val="single" w:color="auto" w:sz="12" w:space="0"/>
              <w:right w:val="nil"/>
            </w:tcBorders>
            <w:vAlign w:val="center"/>
          </w:tcPr>
          <w:p>
            <w:pPr>
              <w:jc w:val="center"/>
              <w:rPr>
                <w:rFonts w:ascii="宋体" w:hAnsi="宋体"/>
                <w:b/>
                <w:color w:val="auto"/>
                <w:sz w:val="18"/>
                <w:szCs w:val="18"/>
              </w:rPr>
            </w:pPr>
            <w:r>
              <w:rPr>
                <w:rFonts w:hint="eastAsia" w:ascii="宋体" w:hAnsi="宋体"/>
                <w:b/>
                <w:color w:val="auto"/>
                <w:sz w:val="18"/>
                <w:szCs w:val="18"/>
              </w:rPr>
              <w:t>账面净值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743" w:type="pct"/>
            <w:tcBorders>
              <w:top w:val="single" w:color="auto" w:sz="12" w:space="0"/>
              <w:left w:val="nil"/>
              <w:bottom w:val="single" w:color="auto" w:sz="4" w:space="0"/>
              <w:right w:val="single" w:color="auto" w:sz="4" w:space="0"/>
            </w:tcBorders>
            <w:vAlign w:val="bottom"/>
          </w:tcPr>
          <w:p>
            <w:pPr>
              <w:rPr>
                <w:rFonts w:ascii="宋体" w:hAnsi="宋体" w:cs="宋体"/>
                <w:color w:val="auto"/>
                <w:sz w:val="18"/>
                <w:szCs w:val="18"/>
              </w:rPr>
            </w:pPr>
            <w:r>
              <w:rPr>
                <w:rFonts w:hint="eastAsia" w:ascii="宋体" w:hAnsi="宋体"/>
                <w:color w:val="auto"/>
                <w:sz w:val="18"/>
                <w:szCs w:val="18"/>
              </w:rPr>
              <w:t>其他</w:t>
            </w:r>
          </w:p>
        </w:tc>
        <w:tc>
          <w:tcPr>
            <w:tcW w:w="757" w:type="pct"/>
            <w:tcBorders>
              <w:top w:val="single" w:color="auto" w:sz="12"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485,193.11</w:t>
            </w:r>
          </w:p>
        </w:tc>
        <w:tc>
          <w:tcPr>
            <w:tcW w:w="646" w:type="pct"/>
            <w:tcBorders>
              <w:top w:val="single" w:color="auto" w:sz="12"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808" w:type="pct"/>
            <w:tcBorders>
              <w:top w:val="single" w:color="auto" w:sz="12"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485,193.11 </w:t>
            </w:r>
          </w:p>
        </w:tc>
        <w:tc>
          <w:tcPr>
            <w:tcW w:w="778"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3,567,107.44 </w:t>
            </w:r>
          </w:p>
        </w:tc>
        <w:tc>
          <w:tcPr>
            <w:tcW w:w="491"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777" w:type="pct"/>
            <w:tcBorders>
              <w:top w:val="single" w:color="auto" w:sz="12"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3,567,107.44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567" w:hRule="atLeast"/>
        </w:trPr>
        <w:tc>
          <w:tcPr>
            <w:tcW w:w="743" w:type="pct"/>
            <w:tcBorders>
              <w:top w:val="single" w:color="auto" w:sz="4" w:space="0"/>
              <w:left w:val="nil"/>
              <w:bottom w:val="single" w:color="auto" w:sz="12" w:space="0"/>
              <w:right w:val="single" w:color="auto" w:sz="4" w:space="0"/>
            </w:tcBorders>
            <w:vAlign w:val="bottom"/>
          </w:tcPr>
          <w:p>
            <w:pPr>
              <w:rPr>
                <w:rFonts w:ascii="宋体" w:hAnsi="宋体"/>
                <w:color w:val="auto"/>
                <w:sz w:val="18"/>
                <w:szCs w:val="18"/>
              </w:rPr>
            </w:pPr>
            <w:r>
              <w:rPr>
                <w:rFonts w:hint="eastAsia" w:asciiTheme="minorEastAsia" w:hAnsiTheme="minorEastAsia" w:eastAsiaTheme="minorEastAsia"/>
                <w:color w:val="auto"/>
                <w:sz w:val="18"/>
                <w:szCs w:val="18"/>
              </w:rPr>
              <w:t>厂房及零星工程等</w:t>
            </w:r>
          </w:p>
        </w:tc>
        <w:tc>
          <w:tcPr>
            <w:tcW w:w="757" w:type="pct"/>
            <w:tcBorders>
              <w:top w:val="single" w:color="auto" w:sz="4"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4,602,436.48 </w:t>
            </w:r>
          </w:p>
        </w:tc>
        <w:tc>
          <w:tcPr>
            <w:tcW w:w="646" w:type="pct"/>
            <w:tcBorders>
              <w:top w:val="single" w:color="auto" w:sz="4"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808" w:type="pct"/>
            <w:tcBorders>
              <w:top w:val="single" w:color="auto" w:sz="4"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4,602,436.48 </w:t>
            </w:r>
          </w:p>
        </w:tc>
        <w:tc>
          <w:tcPr>
            <w:tcW w:w="778" w:type="pct"/>
            <w:tcBorders>
              <w:top w:val="single" w:color="auto" w:sz="4"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1,082,568.82 </w:t>
            </w:r>
          </w:p>
        </w:tc>
        <w:tc>
          <w:tcPr>
            <w:tcW w:w="491" w:type="pct"/>
            <w:tcBorders>
              <w:top w:val="single" w:color="auto" w:sz="4"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777" w:type="pct"/>
            <w:tcBorders>
              <w:top w:val="single" w:color="auto" w:sz="4" w:space="0"/>
              <w:left w:val="single" w:color="auto" w:sz="4" w:space="0"/>
              <w:bottom w:val="single" w:color="auto" w:sz="12" w:space="0"/>
              <w:right w:val="nil"/>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1,082,568.82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1" w:type="dxa"/>
            <w:bottom w:w="0" w:type="dxa"/>
            <w:right w:w="31" w:type="dxa"/>
          </w:tblCellMar>
        </w:tblPrEx>
        <w:trPr>
          <w:cantSplit/>
          <w:trHeight w:val="454" w:hRule="atLeast"/>
        </w:trPr>
        <w:tc>
          <w:tcPr>
            <w:tcW w:w="743" w:type="pct"/>
            <w:tcBorders>
              <w:top w:val="single" w:color="auto" w:sz="12" w:space="0"/>
              <w:left w:val="nil"/>
              <w:bottom w:val="single" w:color="auto" w:sz="12" w:space="0"/>
              <w:right w:val="single" w:color="auto" w:sz="4" w:space="0"/>
            </w:tcBorders>
            <w:vAlign w:val="bottom"/>
          </w:tcPr>
          <w:p>
            <w:pPr>
              <w:jc w:val="center"/>
              <w:rPr>
                <w:rFonts w:ascii="宋体" w:hAnsi="宋体" w:cs="宋体"/>
                <w:b/>
                <w:bCs/>
                <w:color w:val="auto"/>
                <w:sz w:val="18"/>
                <w:szCs w:val="18"/>
              </w:rPr>
            </w:pPr>
            <w:r>
              <w:rPr>
                <w:rFonts w:hint="eastAsia" w:ascii="宋体" w:hAnsi="宋体"/>
                <w:b/>
                <w:bCs/>
                <w:color w:val="auto"/>
                <w:sz w:val="18"/>
                <w:szCs w:val="18"/>
              </w:rPr>
              <w:t>合计</w:t>
            </w:r>
          </w:p>
        </w:tc>
        <w:tc>
          <w:tcPr>
            <w:tcW w:w="757" w:type="pct"/>
            <w:tcBorders>
              <w:top w:val="single" w:color="auto" w:sz="12"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 xml:space="preserve">5,087,629.59 </w:t>
            </w:r>
          </w:p>
        </w:tc>
        <w:tc>
          <w:tcPr>
            <w:tcW w:w="646" w:type="pct"/>
            <w:tcBorders>
              <w:top w:val="single" w:color="auto" w:sz="12"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p>
        </w:tc>
        <w:tc>
          <w:tcPr>
            <w:tcW w:w="808" w:type="pct"/>
            <w:tcBorders>
              <w:top w:val="single" w:color="auto" w:sz="12"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 xml:space="preserve">5,087,629.59 </w:t>
            </w:r>
          </w:p>
        </w:tc>
        <w:tc>
          <w:tcPr>
            <w:tcW w:w="778"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ascii="宋体" w:hAnsi="宋体" w:cs="宋体"/>
                <w:b/>
                <w:bCs/>
                <w:color w:val="auto"/>
                <w:kern w:val="0"/>
                <w:sz w:val="18"/>
                <w:szCs w:val="18"/>
              </w:rPr>
              <w:t xml:space="preserve">4,649,676.26 </w:t>
            </w:r>
          </w:p>
        </w:tc>
        <w:tc>
          <w:tcPr>
            <w:tcW w:w="491"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p>
        </w:tc>
        <w:tc>
          <w:tcPr>
            <w:tcW w:w="777" w:type="pct"/>
            <w:tcBorders>
              <w:top w:val="single" w:color="auto" w:sz="12" w:space="0"/>
              <w:left w:val="single" w:color="auto" w:sz="4" w:space="0"/>
              <w:bottom w:val="single" w:color="auto" w:sz="12" w:space="0"/>
              <w:right w:val="nil"/>
            </w:tcBorders>
            <w:vAlign w:val="bottom"/>
          </w:tcPr>
          <w:p>
            <w:pPr>
              <w:jc w:val="right"/>
              <w:rPr>
                <w:rFonts w:cs="宋体" w:asciiTheme="minorEastAsia" w:hAnsiTheme="minorEastAsia" w:eastAsiaTheme="minorEastAsia"/>
                <w:b/>
                <w:color w:val="auto"/>
                <w:sz w:val="18"/>
                <w:szCs w:val="18"/>
              </w:rPr>
            </w:pPr>
            <w:r>
              <w:rPr>
                <w:rFonts w:ascii="宋体" w:hAnsi="宋体" w:cs="宋体"/>
                <w:b/>
                <w:bCs/>
                <w:color w:val="auto"/>
                <w:kern w:val="0"/>
                <w:sz w:val="18"/>
                <w:szCs w:val="18"/>
              </w:rPr>
              <w:t xml:space="preserve">4,649,676.26 </w:t>
            </w:r>
          </w:p>
        </w:tc>
      </w:tr>
    </w:tbl>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②在建工程项目变动情况：</w:t>
      </w:r>
    </w:p>
    <w:tbl>
      <w:tblPr>
        <w:tblStyle w:val="9"/>
        <w:tblW w:w="5000" w:type="pct"/>
        <w:tblCaption w:val="&quot;\\lisheng\共享\1、伟隆2022年度审计\1、2022年度审计\1、附注及报告\2022年\附注计算-伟隆 - 2022.xlsx&quot; &quot;2022附注格式!_ReportTable_0042&quot;"/>
        <w:tblDescription w:val="A304:H307"/>
        <w:tblInd w:w="0" w:type="dxa"/>
        <w:tblLayout w:type="autofit"/>
        <w:tblCellMar>
          <w:top w:w="0" w:type="dxa"/>
          <w:left w:w="108" w:type="dxa"/>
          <w:bottom w:w="0" w:type="dxa"/>
          <w:right w:w="108" w:type="dxa"/>
        </w:tblCellMar>
      </w:tblPr>
      <w:tblGrid>
        <w:gridCol w:w="1397"/>
        <w:gridCol w:w="903"/>
        <w:gridCol w:w="1799"/>
        <w:gridCol w:w="1980"/>
        <w:gridCol w:w="1977"/>
        <w:gridCol w:w="1797"/>
      </w:tblGrid>
      <w:tr>
        <w:tblPrEx>
          <w:tblCellMar>
            <w:top w:w="0" w:type="dxa"/>
            <w:left w:w="108" w:type="dxa"/>
            <w:bottom w:w="0" w:type="dxa"/>
            <w:right w:w="108" w:type="dxa"/>
          </w:tblCellMar>
        </w:tblPrEx>
        <w:trPr>
          <w:trHeight w:val="454" w:hRule="atLeast"/>
        </w:trPr>
        <w:tc>
          <w:tcPr>
            <w:tcW w:w="709" w:type="pct"/>
            <w:tcBorders>
              <w:top w:val="single" w:color="auto" w:sz="12" w:space="0"/>
              <w:left w:val="nil"/>
              <w:bottom w:val="single" w:color="auto" w:sz="12" w:space="0"/>
              <w:right w:val="single" w:color="auto" w:sz="4" w:space="0"/>
            </w:tcBorders>
            <w:vAlign w:val="center"/>
          </w:tcPr>
          <w:p>
            <w:pPr>
              <w:spacing w:line="280" w:lineRule="exact"/>
              <w:jc w:val="center"/>
              <w:rPr>
                <w:rFonts w:ascii="宋体"/>
                <w:b/>
                <w:bCs/>
                <w:color w:val="auto"/>
                <w:sz w:val="18"/>
                <w:szCs w:val="18"/>
              </w:rPr>
            </w:pPr>
            <w:r>
              <w:rPr>
                <w:rFonts w:hint="eastAsia" w:ascii="宋体" w:hAnsi="宋体"/>
                <w:b/>
                <w:bCs/>
                <w:color w:val="auto"/>
                <w:sz w:val="18"/>
                <w:szCs w:val="18"/>
              </w:rPr>
              <w:t>项目名称</w:t>
            </w:r>
          </w:p>
        </w:tc>
        <w:tc>
          <w:tcPr>
            <w:tcW w:w="458" w:type="pct"/>
            <w:tcBorders>
              <w:top w:val="single" w:color="auto" w:sz="12" w:space="0"/>
              <w:left w:val="nil"/>
              <w:bottom w:val="single" w:color="auto" w:sz="12" w:space="0"/>
              <w:right w:val="single" w:color="auto" w:sz="4" w:space="0"/>
            </w:tcBorders>
            <w:vAlign w:val="center"/>
          </w:tcPr>
          <w:p>
            <w:pPr>
              <w:spacing w:line="280" w:lineRule="exact"/>
              <w:jc w:val="center"/>
              <w:rPr>
                <w:rFonts w:ascii="宋体"/>
                <w:b/>
                <w:color w:val="auto"/>
                <w:sz w:val="18"/>
                <w:szCs w:val="18"/>
              </w:rPr>
            </w:pPr>
            <w:r>
              <w:rPr>
                <w:rFonts w:hint="eastAsia" w:ascii="宋体" w:hAnsi="宋体"/>
                <w:b/>
                <w:color w:val="auto"/>
                <w:sz w:val="18"/>
                <w:szCs w:val="18"/>
              </w:rPr>
              <w:t>预算数</w:t>
            </w:r>
          </w:p>
        </w:tc>
        <w:tc>
          <w:tcPr>
            <w:tcW w:w="913" w:type="pct"/>
            <w:tcBorders>
              <w:top w:val="single" w:color="auto" w:sz="12" w:space="0"/>
              <w:left w:val="single" w:color="auto" w:sz="4" w:space="0"/>
              <w:bottom w:val="single" w:color="auto" w:sz="12" w:space="0"/>
              <w:right w:val="single" w:color="auto" w:sz="4" w:space="0"/>
            </w:tcBorders>
            <w:vAlign w:val="center"/>
          </w:tcPr>
          <w:p>
            <w:pPr>
              <w:spacing w:line="280" w:lineRule="exact"/>
              <w:jc w:val="center"/>
              <w:rPr>
                <w:rFonts w:ascii="宋体"/>
                <w:b/>
                <w:bCs/>
                <w:color w:val="auto"/>
                <w:sz w:val="18"/>
                <w:szCs w:val="18"/>
              </w:rPr>
            </w:pPr>
            <w:r>
              <w:rPr>
                <w:rFonts w:hint="eastAsia" w:ascii="宋体" w:hAnsi="宋体"/>
                <w:b/>
                <w:color w:val="auto"/>
                <w:sz w:val="18"/>
                <w:szCs w:val="18"/>
              </w:rPr>
              <w:t>期初余额</w:t>
            </w:r>
          </w:p>
        </w:tc>
        <w:tc>
          <w:tcPr>
            <w:tcW w:w="1005" w:type="pct"/>
            <w:tcBorders>
              <w:top w:val="single" w:color="auto" w:sz="12" w:space="0"/>
              <w:left w:val="single" w:color="auto" w:sz="4" w:space="0"/>
              <w:bottom w:val="single" w:color="auto" w:sz="12" w:space="0"/>
              <w:right w:val="single" w:color="auto" w:sz="4" w:space="0"/>
            </w:tcBorders>
            <w:vAlign w:val="center"/>
          </w:tcPr>
          <w:p>
            <w:pPr>
              <w:spacing w:line="280" w:lineRule="exact"/>
              <w:jc w:val="center"/>
              <w:rPr>
                <w:rFonts w:ascii="宋体"/>
                <w:b/>
                <w:bCs/>
                <w:color w:val="auto"/>
                <w:sz w:val="18"/>
                <w:szCs w:val="18"/>
              </w:rPr>
            </w:pPr>
            <w:r>
              <w:rPr>
                <w:rFonts w:hint="eastAsia" w:ascii="宋体" w:hAnsi="宋体"/>
                <w:b/>
                <w:bCs/>
                <w:color w:val="auto"/>
                <w:sz w:val="18"/>
                <w:szCs w:val="18"/>
              </w:rPr>
              <w:t>本期增加</w:t>
            </w:r>
          </w:p>
        </w:tc>
        <w:tc>
          <w:tcPr>
            <w:tcW w:w="1003" w:type="pct"/>
            <w:tcBorders>
              <w:top w:val="single" w:color="auto" w:sz="12" w:space="0"/>
              <w:left w:val="single" w:color="auto" w:sz="4" w:space="0"/>
              <w:bottom w:val="single" w:color="auto" w:sz="12" w:space="0"/>
              <w:right w:val="nil"/>
            </w:tcBorders>
            <w:vAlign w:val="center"/>
          </w:tcPr>
          <w:p>
            <w:pPr>
              <w:spacing w:line="280" w:lineRule="exact"/>
              <w:jc w:val="center"/>
              <w:rPr>
                <w:rFonts w:ascii="宋体"/>
                <w:b/>
                <w:bCs/>
                <w:color w:val="auto"/>
                <w:sz w:val="18"/>
                <w:szCs w:val="18"/>
              </w:rPr>
            </w:pPr>
            <w:r>
              <w:rPr>
                <w:rFonts w:hint="eastAsia" w:ascii="宋体" w:hAnsi="宋体"/>
                <w:b/>
                <w:bCs/>
                <w:color w:val="auto"/>
                <w:sz w:val="18"/>
                <w:szCs w:val="18"/>
              </w:rPr>
              <w:t>转入固定资产</w:t>
            </w:r>
          </w:p>
        </w:tc>
        <w:tc>
          <w:tcPr>
            <w:tcW w:w="913" w:type="pct"/>
            <w:tcBorders>
              <w:top w:val="single" w:color="auto" w:sz="12" w:space="0"/>
              <w:left w:val="single" w:color="auto" w:sz="4" w:space="0"/>
              <w:bottom w:val="single" w:color="auto" w:sz="12" w:space="0"/>
              <w:right w:val="nil"/>
            </w:tcBorders>
            <w:vAlign w:val="center"/>
          </w:tcPr>
          <w:p>
            <w:pPr>
              <w:spacing w:line="280" w:lineRule="exact"/>
              <w:jc w:val="center"/>
              <w:rPr>
                <w:rFonts w:ascii="宋体" w:hAnsi="宋体"/>
                <w:b/>
                <w:bCs/>
                <w:color w:val="auto"/>
                <w:sz w:val="18"/>
                <w:szCs w:val="18"/>
              </w:rPr>
            </w:pPr>
            <w:r>
              <w:rPr>
                <w:rFonts w:hint="eastAsia" w:ascii="宋体" w:hAnsi="宋体"/>
                <w:b/>
                <w:bCs/>
                <w:color w:val="auto"/>
                <w:sz w:val="18"/>
                <w:szCs w:val="18"/>
              </w:rPr>
              <w:t>其他减少</w:t>
            </w:r>
          </w:p>
        </w:tc>
      </w:tr>
      <w:tr>
        <w:tblPrEx>
          <w:tblCellMar>
            <w:top w:w="0" w:type="dxa"/>
            <w:left w:w="108" w:type="dxa"/>
            <w:bottom w:w="0" w:type="dxa"/>
            <w:right w:w="108" w:type="dxa"/>
          </w:tblCellMar>
        </w:tblPrEx>
        <w:trPr>
          <w:trHeight w:val="454" w:hRule="atLeast"/>
        </w:trPr>
        <w:tc>
          <w:tcPr>
            <w:tcW w:w="709" w:type="pct"/>
            <w:tcBorders>
              <w:top w:val="single" w:color="auto" w:sz="4" w:space="0"/>
              <w:left w:val="nil"/>
              <w:bottom w:val="single" w:color="auto" w:sz="4" w:space="0"/>
              <w:right w:val="single" w:color="auto" w:sz="4" w:space="0"/>
            </w:tcBorders>
            <w:vAlign w:val="bottom"/>
          </w:tcPr>
          <w:p>
            <w:pP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其他</w:t>
            </w:r>
          </w:p>
        </w:tc>
        <w:tc>
          <w:tcPr>
            <w:tcW w:w="458" w:type="pct"/>
            <w:tcBorders>
              <w:top w:val="single" w:color="auto" w:sz="4" w:space="0"/>
              <w:left w:val="nil"/>
              <w:bottom w:val="single" w:color="auto" w:sz="4" w:space="0"/>
              <w:right w:val="single" w:color="auto" w:sz="4" w:space="0"/>
            </w:tcBorders>
            <w:vAlign w:val="bottom"/>
          </w:tcPr>
          <w:p>
            <w:pPr>
              <w:jc w:val="right"/>
              <w:rPr>
                <w:rFonts w:ascii="宋体" w:hAnsi="宋体" w:cs="宋体"/>
                <w:color w:val="auto"/>
                <w:sz w:val="18"/>
                <w:szCs w:val="18"/>
              </w:rPr>
            </w:pPr>
          </w:p>
        </w:tc>
        <w:tc>
          <w:tcPr>
            <w:tcW w:w="913"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3,567,107.44</w:t>
            </w:r>
          </w:p>
        </w:tc>
        <w:tc>
          <w:tcPr>
            <w:tcW w:w="1005"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3,547,588.23</w:t>
            </w:r>
          </w:p>
        </w:tc>
        <w:tc>
          <w:tcPr>
            <w:tcW w:w="1003" w:type="pct"/>
            <w:tcBorders>
              <w:top w:val="single" w:color="auto" w:sz="4" w:space="0"/>
              <w:left w:val="single" w:color="auto" w:sz="4" w:space="0"/>
              <w:bottom w:val="single" w:color="auto" w:sz="4" w:space="0"/>
              <w:right w:val="nil"/>
            </w:tcBorders>
            <w:vAlign w:val="bottom"/>
          </w:tcPr>
          <w:p>
            <w:pPr>
              <w:jc w:val="right"/>
              <w:rPr>
                <w:rFonts w:ascii="宋体" w:hAnsi="宋体" w:cs="宋体"/>
                <w:color w:val="auto"/>
                <w:sz w:val="18"/>
                <w:szCs w:val="18"/>
              </w:rPr>
            </w:pPr>
            <w:r>
              <w:rPr>
                <w:rFonts w:ascii="宋体" w:hAnsi="宋体" w:cs="宋体"/>
                <w:color w:val="auto"/>
                <w:sz w:val="18"/>
                <w:szCs w:val="18"/>
              </w:rPr>
              <w:t>6,274,785.57</w:t>
            </w:r>
          </w:p>
        </w:tc>
        <w:tc>
          <w:tcPr>
            <w:tcW w:w="913" w:type="pct"/>
            <w:tcBorders>
              <w:top w:val="single" w:color="auto" w:sz="4" w:space="0"/>
              <w:left w:val="single" w:color="auto" w:sz="4" w:space="0"/>
              <w:bottom w:val="single" w:color="auto" w:sz="4" w:space="0"/>
              <w:right w:val="nil"/>
            </w:tcBorders>
            <w:vAlign w:val="bottom"/>
          </w:tcPr>
          <w:p>
            <w:pPr>
              <w:jc w:val="right"/>
              <w:rPr>
                <w:rFonts w:ascii="宋体" w:hAnsi="宋体" w:cs="宋体"/>
                <w:color w:val="auto"/>
                <w:sz w:val="18"/>
                <w:szCs w:val="18"/>
              </w:rPr>
            </w:pPr>
            <w:r>
              <w:rPr>
                <w:rFonts w:ascii="宋体" w:hAnsi="宋体" w:cs="宋体"/>
                <w:color w:val="auto"/>
                <w:sz w:val="18"/>
                <w:szCs w:val="18"/>
              </w:rPr>
              <w:t>354,716.99</w:t>
            </w:r>
          </w:p>
        </w:tc>
      </w:tr>
      <w:tr>
        <w:tblPrEx>
          <w:tblCellMar>
            <w:top w:w="0" w:type="dxa"/>
            <w:left w:w="108" w:type="dxa"/>
            <w:bottom w:w="0" w:type="dxa"/>
            <w:right w:w="108" w:type="dxa"/>
          </w:tblCellMar>
        </w:tblPrEx>
        <w:trPr>
          <w:cantSplit/>
          <w:trHeight w:val="567" w:hRule="atLeast"/>
        </w:trPr>
        <w:tc>
          <w:tcPr>
            <w:tcW w:w="709" w:type="pct"/>
            <w:tcBorders>
              <w:top w:val="single" w:color="auto" w:sz="4" w:space="0"/>
              <w:left w:val="nil"/>
              <w:bottom w:val="single" w:color="auto" w:sz="4" w:space="0"/>
              <w:right w:val="single" w:color="auto" w:sz="4" w:space="0"/>
            </w:tcBorders>
            <w:vAlign w:val="bottom"/>
          </w:tcPr>
          <w:p>
            <w:pP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厂房及零星工程等</w:t>
            </w:r>
          </w:p>
        </w:tc>
        <w:tc>
          <w:tcPr>
            <w:tcW w:w="458" w:type="pct"/>
            <w:tcBorders>
              <w:top w:val="single" w:color="auto" w:sz="4" w:space="0"/>
              <w:left w:val="nil"/>
              <w:bottom w:val="single" w:color="auto" w:sz="4" w:space="0"/>
              <w:right w:val="single" w:color="auto" w:sz="4" w:space="0"/>
            </w:tcBorders>
            <w:vAlign w:val="bottom"/>
          </w:tcPr>
          <w:p>
            <w:pPr>
              <w:jc w:val="right"/>
              <w:rPr>
                <w:rFonts w:ascii="宋体" w:hAnsi="宋体" w:cs="宋体"/>
                <w:color w:val="auto"/>
                <w:sz w:val="18"/>
                <w:szCs w:val="18"/>
              </w:rPr>
            </w:pPr>
          </w:p>
        </w:tc>
        <w:tc>
          <w:tcPr>
            <w:tcW w:w="913"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1,082,568.82</w:t>
            </w:r>
          </w:p>
        </w:tc>
        <w:tc>
          <w:tcPr>
            <w:tcW w:w="1005"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13,511,059.35</w:t>
            </w:r>
          </w:p>
        </w:tc>
        <w:tc>
          <w:tcPr>
            <w:tcW w:w="1003" w:type="pct"/>
            <w:tcBorders>
              <w:top w:val="single" w:color="auto" w:sz="4" w:space="0"/>
              <w:left w:val="single" w:color="auto" w:sz="4" w:space="0"/>
              <w:bottom w:val="single" w:color="auto" w:sz="4" w:space="0"/>
              <w:right w:val="nil"/>
            </w:tcBorders>
            <w:vAlign w:val="bottom"/>
          </w:tcPr>
          <w:p>
            <w:pPr>
              <w:jc w:val="right"/>
              <w:rPr>
                <w:rFonts w:ascii="宋体" w:hAnsi="宋体" w:cs="宋体"/>
                <w:color w:val="auto"/>
                <w:sz w:val="18"/>
                <w:szCs w:val="18"/>
              </w:rPr>
            </w:pPr>
            <w:r>
              <w:rPr>
                <w:rFonts w:ascii="宋体" w:hAnsi="宋体" w:cs="宋体"/>
                <w:color w:val="auto"/>
                <w:sz w:val="18"/>
                <w:szCs w:val="18"/>
              </w:rPr>
              <w:t>8,926,054.06</w:t>
            </w:r>
          </w:p>
        </w:tc>
        <w:tc>
          <w:tcPr>
            <w:tcW w:w="913" w:type="pct"/>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1,065,137.63 </w:t>
            </w:r>
          </w:p>
        </w:tc>
      </w:tr>
      <w:tr>
        <w:tblPrEx>
          <w:tblCellMar>
            <w:top w:w="0" w:type="dxa"/>
            <w:left w:w="108" w:type="dxa"/>
            <w:bottom w:w="0" w:type="dxa"/>
            <w:right w:w="108" w:type="dxa"/>
          </w:tblCellMar>
        </w:tblPrEx>
        <w:trPr>
          <w:trHeight w:val="454" w:hRule="atLeast"/>
        </w:trPr>
        <w:tc>
          <w:tcPr>
            <w:tcW w:w="709" w:type="pct"/>
            <w:tcBorders>
              <w:top w:val="single" w:color="auto" w:sz="12" w:space="0"/>
              <w:left w:val="nil"/>
              <w:bottom w:val="single" w:color="auto" w:sz="12" w:space="0"/>
              <w:right w:val="single" w:color="auto" w:sz="4" w:space="0"/>
            </w:tcBorders>
            <w:vAlign w:val="bottom"/>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合计</w:t>
            </w:r>
          </w:p>
        </w:tc>
        <w:tc>
          <w:tcPr>
            <w:tcW w:w="458" w:type="pct"/>
            <w:tcBorders>
              <w:top w:val="single" w:color="auto" w:sz="12" w:space="0"/>
              <w:left w:val="nil"/>
              <w:bottom w:val="single" w:color="auto" w:sz="12" w:space="0"/>
              <w:right w:val="single" w:color="auto" w:sz="4" w:space="0"/>
            </w:tcBorders>
            <w:vAlign w:val="bottom"/>
          </w:tcPr>
          <w:p>
            <w:pPr>
              <w:jc w:val="right"/>
              <w:rPr>
                <w:rFonts w:ascii="宋体" w:hAnsi="宋体" w:cs="宋体"/>
                <w:b/>
                <w:bCs/>
                <w:color w:val="auto"/>
                <w:sz w:val="18"/>
                <w:szCs w:val="18"/>
              </w:rPr>
            </w:pPr>
          </w:p>
        </w:tc>
        <w:tc>
          <w:tcPr>
            <w:tcW w:w="913"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ascii="宋体" w:hAnsi="宋体" w:cs="宋体"/>
                <w:b/>
                <w:bCs/>
                <w:color w:val="auto"/>
                <w:kern w:val="0"/>
                <w:sz w:val="18"/>
                <w:szCs w:val="18"/>
              </w:rPr>
              <w:t>4,649,676.26</w:t>
            </w:r>
          </w:p>
        </w:tc>
        <w:tc>
          <w:tcPr>
            <w:tcW w:w="1005" w:type="pct"/>
            <w:tcBorders>
              <w:top w:val="single" w:color="auto" w:sz="12"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17,058,647.58</w:t>
            </w:r>
          </w:p>
        </w:tc>
        <w:tc>
          <w:tcPr>
            <w:tcW w:w="1003" w:type="pct"/>
            <w:tcBorders>
              <w:top w:val="single" w:color="auto" w:sz="12" w:space="0"/>
              <w:left w:val="single" w:color="auto" w:sz="4" w:space="0"/>
              <w:bottom w:val="single" w:color="auto" w:sz="12" w:space="0"/>
              <w:right w:val="nil"/>
            </w:tcBorders>
            <w:vAlign w:val="bottom"/>
          </w:tcPr>
          <w:p>
            <w:pPr>
              <w:jc w:val="right"/>
              <w:rPr>
                <w:rFonts w:ascii="宋体" w:hAnsi="宋体" w:cs="宋体"/>
                <w:b/>
                <w:bCs/>
                <w:color w:val="auto"/>
                <w:sz w:val="18"/>
                <w:szCs w:val="18"/>
              </w:rPr>
            </w:pPr>
            <w:r>
              <w:rPr>
                <w:rFonts w:ascii="宋体" w:hAnsi="宋体" w:cs="宋体"/>
                <w:b/>
                <w:bCs/>
                <w:color w:val="auto"/>
                <w:sz w:val="18"/>
                <w:szCs w:val="18"/>
              </w:rPr>
              <w:t>15,200,839.63</w:t>
            </w:r>
          </w:p>
        </w:tc>
        <w:tc>
          <w:tcPr>
            <w:tcW w:w="913" w:type="pct"/>
            <w:tcBorders>
              <w:top w:val="single" w:color="auto" w:sz="12" w:space="0"/>
              <w:left w:val="single" w:color="auto" w:sz="4" w:space="0"/>
              <w:bottom w:val="single" w:color="auto" w:sz="12" w:space="0"/>
              <w:right w:val="nil"/>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1,419,854.62 </w:t>
            </w:r>
          </w:p>
        </w:tc>
      </w:tr>
    </w:tbl>
    <w:p>
      <w:pPr>
        <w:widowControl/>
        <w:spacing w:before="150" w:beforeLines="50" w:after="150" w:afterLines="50" w:line="360" w:lineRule="auto"/>
        <w:ind w:firstLine="425"/>
        <w:jc w:val="left"/>
        <w:rPr>
          <w:rFonts w:ascii="宋体"/>
          <w:color w:val="auto"/>
          <w:spacing w:val="4"/>
        </w:rPr>
      </w:pPr>
      <w:r>
        <w:rPr>
          <w:rFonts w:hint="eastAsia" w:ascii="宋体" w:hAnsi="宋体"/>
          <w:color w:val="auto"/>
          <w:spacing w:val="4"/>
        </w:rPr>
        <w:t>（续上表）</w:t>
      </w:r>
    </w:p>
    <w:tbl>
      <w:tblPr>
        <w:tblStyle w:val="9"/>
        <w:tblW w:w="8931" w:type="dxa"/>
        <w:tblInd w:w="108" w:type="dxa"/>
        <w:tblLayout w:type="fixed"/>
        <w:tblCellMar>
          <w:top w:w="0" w:type="dxa"/>
          <w:left w:w="108" w:type="dxa"/>
          <w:bottom w:w="0" w:type="dxa"/>
          <w:right w:w="108" w:type="dxa"/>
        </w:tblCellMar>
      </w:tblPr>
      <w:tblGrid>
        <w:gridCol w:w="1418"/>
        <w:gridCol w:w="992"/>
        <w:gridCol w:w="1134"/>
        <w:gridCol w:w="1276"/>
        <w:gridCol w:w="1277"/>
        <w:gridCol w:w="1274"/>
        <w:gridCol w:w="1560"/>
      </w:tblGrid>
      <w:tr>
        <w:tblPrEx>
          <w:tblCellMar>
            <w:top w:w="0" w:type="dxa"/>
            <w:left w:w="108" w:type="dxa"/>
            <w:bottom w:w="0" w:type="dxa"/>
            <w:right w:w="108" w:type="dxa"/>
          </w:tblCellMar>
        </w:tblPrEx>
        <w:trPr>
          <w:trHeight w:val="454" w:hRule="atLeast"/>
        </w:trPr>
        <w:tc>
          <w:tcPr>
            <w:tcW w:w="1418" w:type="dxa"/>
            <w:tcBorders>
              <w:top w:val="single" w:color="auto" w:sz="12" w:space="0"/>
              <w:left w:val="nil"/>
              <w:bottom w:val="single" w:color="auto" w:sz="12" w:space="0"/>
              <w:right w:val="single" w:color="auto" w:sz="4" w:space="0"/>
            </w:tcBorders>
            <w:vAlign w:val="center"/>
          </w:tcPr>
          <w:p>
            <w:pPr>
              <w:spacing w:line="280" w:lineRule="exact"/>
              <w:ind w:right="42" w:rightChars="20"/>
              <w:jc w:val="center"/>
              <w:rPr>
                <w:rFonts w:ascii="宋体" w:hAnsi="宋体"/>
                <w:b/>
                <w:color w:val="auto"/>
                <w:sz w:val="18"/>
                <w:szCs w:val="18"/>
              </w:rPr>
            </w:pPr>
            <w:r>
              <w:rPr>
                <w:rFonts w:hint="eastAsia" w:ascii="宋体" w:hAnsi="宋体"/>
                <w:b/>
                <w:color w:val="auto"/>
                <w:sz w:val="18"/>
                <w:szCs w:val="18"/>
              </w:rPr>
              <w:t>工程投入占预算比例（</w:t>
            </w:r>
            <w:r>
              <w:rPr>
                <w:rFonts w:ascii="宋体" w:hAnsi="宋体"/>
                <w:b/>
                <w:color w:val="auto"/>
                <w:sz w:val="18"/>
                <w:szCs w:val="18"/>
              </w:rPr>
              <w:t>%）</w:t>
            </w:r>
          </w:p>
        </w:tc>
        <w:tc>
          <w:tcPr>
            <w:tcW w:w="992" w:type="dxa"/>
            <w:tcBorders>
              <w:top w:val="single" w:color="auto" w:sz="12" w:space="0"/>
              <w:left w:val="single" w:color="auto" w:sz="4" w:space="0"/>
              <w:bottom w:val="single" w:color="auto" w:sz="12" w:space="0"/>
              <w:right w:val="single" w:color="auto" w:sz="4" w:space="0"/>
            </w:tcBorders>
            <w:vAlign w:val="center"/>
          </w:tcPr>
          <w:p>
            <w:pPr>
              <w:spacing w:line="280" w:lineRule="exact"/>
              <w:ind w:right="-107" w:rightChars="-51"/>
              <w:jc w:val="center"/>
              <w:rPr>
                <w:rFonts w:ascii="宋体"/>
                <w:b/>
                <w:color w:val="auto"/>
                <w:sz w:val="18"/>
                <w:szCs w:val="18"/>
              </w:rPr>
            </w:pPr>
            <w:r>
              <w:rPr>
                <w:rFonts w:hint="eastAsia" w:ascii="宋体" w:hAnsi="宋体"/>
                <w:b/>
                <w:color w:val="auto"/>
                <w:sz w:val="18"/>
                <w:szCs w:val="18"/>
              </w:rPr>
              <w:t>工程进度（</w:t>
            </w:r>
            <w:r>
              <w:rPr>
                <w:rFonts w:ascii="宋体" w:hAnsi="宋体"/>
                <w:b/>
                <w:color w:val="auto"/>
                <w:sz w:val="18"/>
                <w:szCs w:val="18"/>
              </w:rPr>
              <w:t>%）</w:t>
            </w:r>
          </w:p>
        </w:tc>
        <w:tc>
          <w:tcPr>
            <w:tcW w:w="1134" w:type="dxa"/>
            <w:tcBorders>
              <w:top w:val="single" w:color="auto" w:sz="12" w:space="0"/>
              <w:left w:val="single" w:color="auto" w:sz="4" w:space="0"/>
              <w:bottom w:val="single" w:color="auto" w:sz="12" w:space="0"/>
              <w:right w:val="single" w:color="auto" w:sz="4" w:space="0"/>
            </w:tcBorders>
            <w:vAlign w:val="center"/>
          </w:tcPr>
          <w:p>
            <w:pPr>
              <w:spacing w:line="280" w:lineRule="exact"/>
              <w:ind w:right="-107" w:rightChars="-51"/>
              <w:jc w:val="center"/>
              <w:rPr>
                <w:rFonts w:ascii="宋体"/>
                <w:b/>
                <w:color w:val="auto"/>
                <w:sz w:val="18"/>
                <w:szCs w:val="18"/>
              </w:rPr>
            </w:pPr>
            <w:r>
              <w:rPr>
                <w:rFonts w:hint="eastAsia" w:ascii="宋体" w:hAnsi="宋体"/>
                <w:b/>
                <w:color w:val="auto"/>
                <w:sz w:val="18"/>
                <w:szCs w:val="18"/>
              </w:rPr>
              <w:t>利息资本化累计金额</w:t>
            </w:r>
          </w:p>
        </w:tc>
        <w:tc>
          <w:tcPr>
            <w:tcW w:w="1276" w:type="dxa"/>
            <w:tcBorders>
              <w:top w:val="single" w:color="auto" w:sz="12" w:space="0"/>
              <w:left w:val="single" w:color="auto" w:sz="4" w:space="0"/>
              <w:bottom w:val="single" w:color="auto" w:sz="12" w:space="0"/>
              <w:right w:val="single" w:color="auto" w:sz="4" w:space="0"/>
            </w:tcBorders>
            <w:vAlign w:val="center"/>
          </w:tcPr>
          <w:p>
            <w:pPr>
              <w:spacing w:line="280" w:lineRule="exact"/>
              <w:ind w:right="-107" w:rightChars="-51"/>
              <w:jc w:val="center"/>
              <w:rPr>
                <w:rFonts w:ascii="宋体"/>
                <w:b/>
                <w:color w:val="auto"/>
                <w:sz w:val="18"/>
                <w:szCs w:val="18"/>
              </w:rPr>
            </w:pPr>
            <w:r>
              <w:rPr>
                <w:rFonts w:hint="eastAsia" w:ascii="宋体" w:hAnsi="宋体"/>
                <w:b/>
                <w:color w:val="auto"/>
                <w:sz w:val="18"/>
                <w:szCs w:val="18"/>
              </w:rPr>
              <w:t>其中：本期利息资本化金额</w:t>
            </w:r>
          </w:p>
        </w:tc>
        <w:tc>
          <w:tcPr>
            <w:tcW w:w="1277" w:type="dxa"/>
            <w:tcBorders>
              <w:top w:val="single" w:color="auto" w:sz="12" w:space="0"/>
              <w:left w:val="single" w:color="auto" w:sz="4" w:space="0"/>
              <w:bottom w:val="single" w:color="auto" w:sz="12" w:space="0"/>
              <w:right w:val="single" w:color="auto" w:sz="4" w:space="0"/>
            </w:tcBorders>
            <w:vAlign w:val="center"/>
          </w:tcPr>
          <w:p>
            <w:pPr>
              <w:spacing w:line="280" w:lineRule="exact"/>
              <w:ind w:right="-107" w:rightChars="-51"/>
              <w:jc w:val="center"/>
              <w:rPr>
                <w:rFonts w:ascii="宋体" w:hAnsi="宋体"/>
                <w:b/>
                <w:color w:val="auto"/>
                <w:sz w:val="18"/>
                <w:szCs w:val="18"/>
              </w:rPr>
            </w:pPr>
            <w:r>
              <w:rPr>
                <w:rFonts w:hint="eastAsia" w:ascii="宋体" w:hAnsi="宋体"/>
                <w:b/>
                <w:color w:val="auto"/>
                <w:sz w:val="18"/>
                <w:szCs w:val="18"/>
              </w:rPr>
              <w:t>本期利息资本化率（</w:t>
            </w:r>
            <w:r>
              <w:rPr>
                <w:rFonts w:ascii="宋体" w:hAnsi="宋体"/>
                <w:b/>
                <w:color w:val="auto"/>
                <w:sz w:val="18"/>
                <w:szCs w:val="18"/>
              </w:rPr>
              <w:t>%）</w:t>
            </w:r>
          </w:p>
        </w:tc>
        <w:tc>
          <w:tcPr>
            <w:tcW w:w="1274" w:type="dxa"/>
            <w:tcBorders>
              <w:top w:val="single" w:color="auto" w:sz="12" w:space="0"/>
              <w:left w:val="single" w:color="auto" w:sz="4" w:space="0"/>
              <w:bottom w:val="single" w:color="auto" w:sz="12" w:space="0"/>
              <w:right w:val="single" w:color="auto" w:sz="4" w:space="0"/>
            </w:tcBorders>
            <w:vAlign w:val="center"/>
          </w:tcPr>
          <w:p>
            <w:pPr>
              <w:spacing w:line="280" w:lineRule="exact"/>
              <w:ind w:right="-107" w:rightChars="-51"/>
              <w:jc w:val="center"/>
              <w:rPr>
                <w:rFonts w:ascii="宋体"/>
                <w:b/>
                <w:color w:val="auto"/>
                <w:sz w:val="18"/>
                <w:szCs w:val="18"/>
              </w:rPr>
            </w:pPr>
            <w:r>
              <w:rPr>
                <w:rFonts w:hint="eastAsia" w:ascii="宋体" w:hAnsi="宋体"/>
                <w:b/>
                <w:color w:val="auto"/>
                <w:sz w:val="18"/>
                <w:szCs w:val="18"/>
              </w:rPr>
              <w:t>资金来源</w:t>
            </w:r>
          </w:p>
        </w:tc>
        <w:tc>
          <w:tcPr>
            <w:tcW w:w="1560" w:type="dxa"/>
            <w:tcBorders>
              <w:top w:val="single" w:color="auto" w:sz="12" w:space="0"/>
              <w:left w:val="single" w:color="auto" w:sz="4" w:space="0"/>
              <w:bottom w:val="single" w:color="auto" w:sz="12" w:space="0"/>
              <w:right w:val="nil"/>
            </w:tcBorders>
            <w:vAlign w:val="center"/>
          </w:tcPr>
          <w:p>
            <w:pPr>
              <w:spacing w:line="280" w:lineRule="exact"/>
              <w:ind w:right="-107" w:rightChars="-51"/>
              <w:jc w:val="center"/>
              <w:rPr>
                <w:rFonts w:ascii="宋体"/>
                <w:b/>
                <w:bCs/>
                <w:color w:val="auto"/>
                <w:sz w:val="18"/>
                <w:szCs w:val="18"/>
              </w:rPr>
            </w:pPr>
            <w:r>
              <w:rPr>
                <w:rFonts w:hint="eastAsia" w:ascii="宋体" w:hAnsi="宋体"/>
                <w:b/>
                <w:color w:val="auto"/>
                <w:sz w:val="18"/>
                <w:szCs w:val="18"/>
              </w:rPr>
              <w:t>期末余额</w:t>
            </w:r>
          </w:p>
        </w:tc>
      </w:tr>
      <w:tr>
        <w:tblPrEx>
          <w:tblCellMar>
            <w:top w:w="0" w:type="dxa"/>
            <w:left w:w="108" w:type="dxa"/>
            <w:bottom w:w="0" w:type="dxa"/>
            <w:right w:w="108" w:type="dxa"/>
          </w:tblCellMar>
        </w:tblPrEx>
        <w:trPr>
          <w:trHeight w:val="454" w:hRule="atLeast"/>
        </w:trPr>
        <w:tc>
          <w:tcPr>
            <w:tcW w:w="1418" w:type="dxa"/>
            <w:tcBorders>
              <w:top w:val="single" w:color="auto" w:sz="4" w:space="0"/>
              <w:left w:val="nil"/>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992"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1276"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1277"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127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18"/>
                <w:szCs w:val="18"/>
              </w:rPr>
            </w:pPr>
            <w:r>
              <w:rPr>
                <w:rFonts w:hint="eastAsia" w:ascii="宋体" w:hAnsi="宋体" w:cs="宋体"/>
                <w:color w:val="auto"/>
                <w:kern w:val="0"/>
                <w:sz w:val="18"/>
                <w:szCs w:val="18"/>
              </w:rPr>
              <w:t>自筹</w:t>
            </w:r>
          </w:p>
        </w:tc>
        <w:tc>
          <w:tcPr>
            <w:tcW w:w="1560"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485,193.11</w:t>
            </w:r>
            <w:r>
              <w:rPr>
                <w:rFonts w:ascii="宋体" w:hAnsi="宋体" w:cs="宋体"/>
                <w:color w:val="auto"/>
                <w:kern w:val="0"/>
                <w:sz w:val="18"/>
                <w:szCs w:val="18"/>
              </w:rPr>
              <w:t xml:space="preserve"> </w:t>
            </w:r>
          </w:p>
        </w:tc>
      </w:tr>
      <w:tr>
        <w:tblPrEx>
          <w:tblCellMar>
            <w:top w:w="0" w:type="dxa"/>
            <w:left w:w="108" w:type="dxa"/>
            <w:bottom w:w="0" w:type="dxa"/>
            <w:right w:w="108" w:type="dxa"/>
          </w:tblCellMar>
        </w:tblPrEx>
        <w:trPr>
          <w:trHeight w:val="454" w:hRule="atLeast"/>
        </w:trPr>
        <w:tc>
          <w:tcPr>
            <w:tcW w:w="1418" w:type="dxa"/>
            <w:tcBorders>
              <w:top w:val="single" w:color="auto" w:sz="4" w:space="0"/>
              <w:left w:val="nil"/>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992"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1134"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1276"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1277"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127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olor w:val="auto"/>
                <w:sz w:val="18"/>
                <w:szCs w:val="18"/>
              </w:rPr>
            </w:pPr>
            <w:r>
              <w:rPr>
                <w:rFonts w:hint="eastAsia" w:ascii="宋体" w:hAnsi="宋体" w:cs="宋体"/>
                <w:color w:val="auto"/>
                <w:kern w:val="0"/>
                <w:sz w:val="18"/>
                <w:szCs w:val="18"/>
              </w:rPr>
              <w:t>自筹</w:t>
            </w:r>
          </w:p>
        </w:tc>
        <w:tc>
          <w:tcPr>
            <w:tcW w:w="1560"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4,602,436.48 </w:t>
            </w:r>
          </w:p>
        </w:tc>
      </w:tr>
      <w:tr>
        <w:tblPrEx>
          <w:tblCellMar>
            <w:top w:w="0" w:type="dxa"/>
            <w:left w:w="108" w:type="dxa"/>
            <w:bottom w:w="0" w:type="dxa"/>
            <w:right w:w="108" w:type="dxa"/>
          </w:tblCellMar>
        </w:tblPrEx>
        <w:trPr>
          <w:trHeight w:val="454" w:hRule="atLeast"/>
        </w:trPr>
        <w:tc>
          <w:tcPr>
            <w:tcW w:w="1418" w:type="dxa"/>
            <w:tcBorders>
              <w:top w:val="single" w:color="auto" w:sz="12" w:space="0"/>
              <w:left w:val="nil"/>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p>
        </w:tc>
        <w:tc>
          <w:tcPr>
            <w:tcW w:w="992" w:type="dxa"/>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p>
        </w:tc>
        <w:tc>
          <w:tcPr>
            <w:tcW w:w="1134" w:type="dxa"/>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p>
        </w:tc>
        <w:tc>
          <w:tcPr>
            <w:tcW w:w="1276" w:type="dxa"/>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p>
        </w:tc>
        <w:tc>
          <w:tcPr>
            <w:tcW w:w="1277" w:type="dxa"/>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p>
        </w:tc>
        <w:tc>
          <w:tcPr>
            <w:tcW w:w="1274" w:type="dxa"/>
            <w:tcBorders>
              <w:top w:val="single" w:color="auto" w:sz="12" w:space="0"/>
              <w:left w:val="single" w:color="auto" w:sz="4" w:space="0"/>
              <w:bottom w:val="single" w:color="auto" w:sz="12" w:space="0"/>
              <w:right w:val="single" w:color="auto" w:sz="4" w:space="0"/>
            </w:tcBorders>
            <w:vAlign w:val="bottom"/>
          </w:tcPr>
          <w:p>
            <w:pPr>
              <w:jc w:val="center"/>
              <w:rPr>
                <w:rFonts w:ascii="宋体" w:hAnsi="宋体" w:cs="宋体"/>
                <w:b/>
                <w:bCs/>
                <w:color w:val="auto"/>
                <w:sz w:val="18"/>
                <w:szCs w:val="18"/>
              </w:rPr>
            </w:pPr>
          </w:p>
        </w:tc>
        <w:tc>
          <w:tcPr>
            <w:tcW w:w="1560" w:type="dxa"/>
            <w:tcBorders>
              <w:top w:val="single" w:color="auto" w:sz="12" w:space="0"/>
              <w:left w:val="single" w:color="auto" w:sz="4" w:space="0"/>
              <w:bottom w:val="single" w:color="auto" w:sz="12" w:space="0"/>
              <w:right w:val="nil"/>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 xml:space="preserve">5,087,629.59 </w:t>
            </w:r>
          </w:p>
        </w:tc>
      </w:tr>
    </w:tbl>
    <w:p>
      <w:pPr>
        <w:widowControl/>
        <w:spacing w:before="150" w:beforeLines="50" w:line="360" w:lineRule="auto"/>
        <w:ind w:firstLine="420" w:firstLineChars="200"/>
        <w:rPr>
          <w:rFonts w:ascii="宋体" w:hAnsi="宋体" w:cs="宋体"/>
          <w:color w:val="auto"/>
          <w:kern w:val="0"/>
          <w:szCs w:val="21"/>
        </w:rPr>
      </w:pPr>
      <w:r>
        <w:rPr>
          <w:rFonts w:hint="eastAsia" w:ascii="宋体" w:hAnsi="宋体" w:cs="宋体"/>
          <w:color w:val="auto"/>
          <w:kern w:val="0"/>
          <w:szCs w:val="21"/>
        </w:rPr>
        <w:t>③报告期公司无借款费用资本化的情况。</w:t>
      </w:r>
    </w:p>
    <w:p>
      <w:pPr>
        <w:widowControl/>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④报告期在建工程未发生减值情况，故未计提减值准备。</w:t>
      </w:r>
    </w:p>
    <w:p>
      <w:pPr>
        <w:widowControl/>
        <w:spacing w:before="150" w:beforeLines="50" w:after="150" w:afterLines="50" w:line="360" w:lineRule="auto"/>
        <w:ind w:firstLine="420" w:firstLineChars="200"/>
        <w:rPr>
          <w:rFonts w:ascii="宋体" w:hAnsi="宋体" w:cs="宋体"/>
          <w:b/>
          <w:color w:val="auto"/>
          <w:kern w:val="0"/>
          <w:szCs w:val="21"/>
        </w:rPr>
      </w:pPr>
      <w:r>
        <w:rPr>
          <w:rFonts w:hint="eastAsia" w:ascii="宋体" w:hAnsi="宋体" w:cs="宋体"/>
          <w:b/>
          <w:color w:val="auto"/>
          <w:kern w:val="0"/>
          <w:szCs w:val="21"/>
        </w:rPr>
        <w:t>（2）工程物资：无</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14、无形资产</w:t>
      </w:r>
    </w:p>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（1）明细项目：</w:t>
      </w:r>
    </w:p>
    <w:tbl>
      <w:tblPr>
        <w:tblStyle w:val="9"/>
        <w:tblW w:w="8931" w:type="dxa"/>
        <w:tblCaption w:val="&quot;\\lisheng\共享\1、伟隆2022年度审计\1、2022年度审计\1、附注及报告\2022年\附注计算-伟隆 - 2022.xlsx&quot; &quot;2022附注格式!_ReportTable_0044&quot;"/>
        <w:tblDescription w:val="A319:D346"/>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1984"/>
        <w:gridCol w:w="1985"/>
        <w:gridCol w:w="19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12" w:space="0"/>
              <w:left w:val="nil"/>
              <w:bottom w:val="single" w:color="auto" w:sz="12" w:space="0"/>
              <w:right w:val="single" w:color="auto" w:sz="4" w:space="0"/>
            </w:tcBorders>
            <w:vAlign w:val="center"/>
          </w:tcPr>
          <w:p>
            <w:pPr>
              <w:jc w:val="center"/>
              <w:rPr>
                <w:rFonts w:ascii="宋体" w:hAnsi="宋体" w:cs="宋体"/>
                <w:b/>
                <w:bCs/>
                <w:color w:val="auto"/>
                <w:sz w:val="18"/>
                <w:szCs w:val="18"/>
              </w:rPr>
            </w:pPr>
            <w:r>
              <w:rPr>
                <w:rFonts w:hint="eastAsia"/>
                <w:b/>
                <w:bCs/>
                <w:color w:val="auto"/>
                <w:sz w:val="18"/>
                <w:szCs w:val="18"/>
              </w:rPr>
              <w:t>项  目</w:t>
            </w:r>
          </w:p>
        </w:tc>
        <w:tc>
          <w:tcPr>
            <w:tcW w:w="1984"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cs="宋体"/>
                <w:b/>
                <w:bCs/>
                <w:color w:val="auto"/>
                <w:sz w:val="18"/>
                <w:szCs w:val="18"/>
              </w:rPr>
            </w:pPr>
            <w:r>
              <w:rPr>
                <w:rFonts w:hint="eastAsia"/>
                <w:b/>
                <w:bCs/>
                <w:color w:val="auto"/>
                <w:sz w:val="18"/>
                <w:szCs w:val="18"/>
              </w:rPr>
              <w:t>土地使用权</w:t>
            </w:r>
          </w:p>
        </w:tc>
        <w:tc>
          <w:tcPr>
            <w:tcW w:w="1985"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cs="宋体"/>
                <w:b/>
                <w:bCs/>
                <w:color w:val="auto"/>
                <w:sz w:val="18"/>
                <w:szCs w:val="18"/>
              </w:rPr>
            </w:pPr>
            <w:r>
              <w:rPr>
                <w:rFonts w:hint="eastAsia"/>
                <w:b/>
                <w:bCs/>
                <w:color w:val="auto"/>
                <w:sz w:val="18"/>
                <w:szCs w:val="18"/>
              </w:rPr>
              <w:t>计算机软件</w:t>
            </w:r>
          </w:p>
        </w:tc>
        <w:tc>
          <w:tcPr>
            <w:tcW w:w="1985" w:type="dxa"/>
            <w:tcBorders>
              <w:top w:val="single" w:color="auto" w:sz="12" w:space="0"/>
              <w:left w:val="single" w:color="auto" w:sz="4" w:space="0"/>
              <w:bottom w:val="single" w:color="auto" w:sz="12" w:space="0"/>
              <w:right w:val="nil"/>
            </w:tcBorders>
            <w:vAlign w:val="center"/>
          </w:tcPr>
          <w:p>
            <w:pPr>
              <w:jc w:val="center"/>
              <w:rPr>
                <w:rFonts w:ascii="宋体" w:hAnsi="宋体" w:cs="宋体"/>
                <w:b/>
                <w:bCs/>
                <w:color w:val="auto"/>
                <w:sz w:val="18"/>
                <w:szCs w:val="18"/>
              </w:rPr>
            </w:pPr>
            <w:r>
              <w:rPr>
                <w:rFonts w:hint="eastAsia"/>
                <w:b/>
                <w:bCs/>
                <w:color w:val="auto"/>
                <w:sz w:val="18"/>
                <w:szCs w:val="18"/>
              </w:rPr>
              <w:t>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12" w:space="0"/>
              <w:left w:val="nil"/>
              <w:bottom w:val="single" w:color="auto" w:sz="4" w:space="0"/>
              <w:right w:val="single" w:color="auto" w:sz="4" w:space="0"/>
            </w:tcBorders>
            <w:vAlign w:val="bottom"/>
          </w:tcPr>
          <w:p>
            <w:pPr>
              <w:ind w:firstLine="90" w:firstLineChars="50"/>
              <w:rPr>
                <w:rFonts w:ascii="宋体" w:hAnsi="宋体"/>
                <w:b/>
                <w:color w:val="auto"/>
                <w:sz w:val="18"/>
                <w:szCs w:val="18"/>
              </w:rPr>
            </w:pPr>
            <w:r>
              <w:rPr>
                <w:rFonts w:hint="eastAsia" w:ascii="宋体" w:hAnsi="宋体"/>
                <w:b/>
                <w:color w:val="auto"/>
                <w:sz w:val="18"/>
                <w:szCs w:val="18"/>
              </w:rPr>
              <w:t>一、账面原值</w:t>
            </w:r>
          </w:p>
        </w:tc>
        <w:tc>
          <w:tcPr>
            <w:tcW w:w="1984" w:type="dxa"/>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1985" w:type="dxa"/>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1985" w:type="dxa"/>
            <w:tcBorders>
              <w:top w:val="single" w:color="auto" w:sz="12"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sz w:val="18"/>
                <w:szCs w:val="18"/>
              </w:rPr>
            </w:pPr>
            <w:r>
              <w:rPr>
                <w:rFonts w:ascii="宋体" w:hAnsi="宋体"/>
                <w:color w:val="auto"/>
                <w:sz w:val="18"/>
                <w:szCs w:val="18"/>
              </w:rPr>
              <w:t>1.期初余额</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41,527,794.83 </w:t>
            </w: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1,382,790.21 </w:t>
            </w: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42,910,585.04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2.本期增加金额</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1,010,302.60</w:t>
            </w: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625,460.35</w:t>
            </w: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1,635,762.95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1）购置</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 xml:space="preserve">625,460.35 </w:t>
            </w: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 xml:space="preserve">625,460.35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（2</w:t>
            </w:r>
            <w:r>
              <w:rPr>
                <w:rFonts w:ascii="宋体" w:hAnsi="宋体"/>
                <w:color w:val="auto"/>
                <w:kern w:val="0"/>
                <w:sz w:val="18"/>
                <w:szCs w:val="18"/>
              </w:rPr>
              <w:t>）</w:t>
            </w:r>
            <w:r>
              <w:rPr>
                <w:rFonts w:hint="eastAsia" w:ascii="宋体" w:hAnsi="宋体"/>
                <w:color w:val="auto"/>
                <w:kern w:val="0"/>
                <w:sz w:val="18"/>
                <w:szCs w:val="18"/>
              </w:rPr>
              <w:t>投资性房地产</w:t>
            </w:r>
            <w:r>
              <w:rPr>
                <w:rFonts w:ascii="宋体" w:hAnsi="宋体"/>
                <w:color w:val="auto"/>
                <w:kern w:val="0"/>
                <w:sz w:val="18"/>
                <w:szCs w:val="18"/>
              </w:rPr>
              <w:t>转入</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1,010,302.60</w:t>
            </w: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1,010,302.60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3.本期减少金额</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1,591,126.74</w:t>
            </w: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1,591,126.74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1）处置</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2）转入投资性房地产</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3）</w:t>
            </w:r>
            <w:r>
              <w:rPr>
                <w:rFonts w:hint="eastAsia" w:ascii="宋体" w:hAnsi="宋体"/>
                <w:color w:val="auto"/>
                <w:kern w:val="0"/>
                <w:sz w:val="18"/>
                <w:szCs w:val="18"/>
              </w:rPr>
              <w:t>处置</w:t>
            </w:r>
            <w:r>
              <w:rPr>
                <w:rFonts w:ascii="宋体" w:hAnsi="宋体"/>
                <w:color w:val="auto"/>
                <w:kern w:val="0"/>
                <w:sz w:val="18"/>
                <w:szCs w:val="18"/>
              </w:rPr>
              <w:t>子公司减少</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1,591,126.74</w:t>
            </w: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1,591,126.74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4.期末余额</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40,946,970.69</w:t>
            </w: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2,008,250.56</w:t>
            </w: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42,955,221.25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ind w:firstLine="90" w:firstLineChars="50"/>
              <w:rPr>
                <w:rFonts w:ascii="宋体" w:hAnsi="宋体"/>
                <w:b/>
                <w:color w:val="auto"/>
                <w:sz w:val="18"/>
                <w:szCs w:val="18"/>
              </w:rPr>
            </w:pPr>
            <w:r>
              <w:rPr>
                <w:rFonts w:hint="eastAsia" w:ascii="宋体" w:hAnsi="宋体"/>
                <w:b/>
                <w:color w:val="auto"/>
                <w:sz w:val="18"/>
                <w:szCs w:val="18"/>
              </w:rPr>
              <w:t>二、累计摊销</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1.期初余额</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7,635,533.14</w:t>
            </w: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759,404.13</w:t>
            </w: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8,394,937.27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2.本期增加金额</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950,879.80</w:t>
            </w: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196,986.99</w:t>
            </w: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1,147,866.79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1）计提</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883,783.84</w:t>
            </w: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196,986.99</w:t>
            </w: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1,080,770.83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（2</w:t>
            </w:r>
            <w:r>
              <w:rPr>
                <w:rFonts w:ascii="宋体" w:hAnsi="宋体"/>
                <w:color w:val="auto"/>
                <w:kern w:val="0"/>
                <w:sz w:val="18"/>
                <w:szCs w:val="18"/>
              </w:rPr>
              <w:t>）</w:t>
            </w:r>
            <w:r>
              <w:rPr>
                <w:rFonts w:hint="eastAsia" w:ascii="宋体" w:hAnsi="宋体"/>
                <w:color w:val="auto"/>
                <w:kern w:val="0"/>
                <w:sz w:val="18"/>
                <w:szCs w:val="18"/>
              </w:rPr>
              <w:t>投资性房地产转入</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67,095.96</w:t>
            </w: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67,095.96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3.本期减少金额</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109,463.20</w:t>
            </w: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109,463.20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1）处置</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2）转入投资性房地产</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3）</w:t>
            </w:r>
            <w:r>
              <w:rPr>
                <w:rFonts w:hint="eastAsia" w:ascii="宋体" w:hAnsi="宋体"/>
                <w:color w:val="auto"/>
                <w:kern w:val="0"/>
                <w:sz w:val="18"/>
                <w:szCs w:val="18"/>
              </w:rPr>
              <w:t>处置</w:t>
            </w:r>
            <w:r>
              <w:rPr>
                <w:rFonts w:ascii="宋体" w:hAnsi="宋体"/>
                <w:color w:val="auto"/>
                <w:kern w:val="0"/>
                <w:sz w:val="18"/>
                <w:szCs w:val="18"/>
              </w:rPr>
              <w:t>子公司减少</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109,463.20</w:t>
            </w: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109,463.20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4.期末余额</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8,476,949.74</w:t>
            </w: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956,391.12</w:t>
            </w: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9,433,340.86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ind w:firstLine="90" w:firstLineChars="50"/>
              <w:rPr>
                <w:rFonts w:ascii="宋体" w:hAnsi="宋体"/>
                <w:b/>
                <w:color w:val="auto"/>
                <w:sz w:val="18"/>
                <w:szCs w:val="18"/>
              </w:rPr>
            </w:pPr>
            <w:r>
              <w:rPr>
                <w:rFonts w:hint="eastAsia" w:ascii="宋体" w:hAnsi="宋体"/>
                <w:b/>
                <w:color w:val="auto"/>
                <w:sz w:val="18"/>
                <w:szCs w:val="18"/>
              </w:rPr>
              <w:t>三、减值准备</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1.期初余额</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2.本期增加金额</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1）计提</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3.本期减少金额</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w:t>
            </w:r>
            <w:r>
              <w:rPr>
                <w:rFonts w:ascii="宋体" w:hAnsi="宋体"/>
                <w:color w:val="auto"/>
                <w:kern w:val="0"/>
                <w:sz w:val="18"/>
                <w:szCs w:val="18"/>
              </w:rPr>
              <w:t>1）处置</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4.期末余额</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ind w:firstLine="90" w:firstLineChars="50"/>
              <w:rPr>
                <w:rFonts w:ascii="宋体" w:hAnsi="宋体"/>
                <w:b/>
                <w:color w:val="auto"/>
                <w:sz w:val="18"/>
                <w:szCs w:val="18"/>
              </w:rPr>
            </w:pPr>
            <w:r>
              <w:rPr>
                <w:rFonts w:hint="eastAsia" w:ascii="宋体" w:hAnsi="宋体"/>
                <w:b/>
                <w:color w:val="auto"/>
                <w:sz w:val="18"/>
                <w:szCs w:val="18"/>
              </w:rPr>
              <w:t>四、账面价值</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4"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1.期末账面价值</w:t>
            </w:r>
          </w:p>
        </w:tc>
        <w:tc>
          <w:tcPr>
            <w:tcW w:w="198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32,470,020.95</w:t>
            </w:r>
          </w:p>
        </w:tc>
        <w:tc>
          <w:tcPr>
            <w:tcW w:w="1985"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1,051,859.44</w:t>
            </w:r>
          </w:p>
        </w:tc>
        <w:tc>
          <w:tcPr>
            <w:tcW w:w="1985" w:type="dxa"/>
            <w:tcBorders>
              <w:top w:val="single" w:color="auto" w:sz="4" w:space="0"/>
              <w:left w:val="single" w:color="auto" w:sz="4" w:space="0"/>
              <w:bottom w:val="single" w:color="auto" w:sz="4"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33,521,880.39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7" w:type="dxa"/>
            <w:tcBorders>
              <w:top w:val="single" w:color="auto" w:sz="4" w:space="0"/>
              <w:left w:val="nil"/>
              <w:bottom w:val="single" w:color="auto" w:sz="12" w:space="0"/>
              <w:right w:val="single" w:color="auto" w:sz="4" w:space="0"/>
            </w:tcBorders>
            <w:vAlign w:val="bottom"/>
          </w:tcPr>
          <w:p>
            <w:pPr>
              <w:ind w:firstLine="90" w:firstLineChars="50"/>
              <w:rPr>
                <w:rFonts w:ascii="宋体" w:hAnsi="宋体"/>
                <w:color w:val="auto"/>
                <w:kern w:val="0"/>
                <w:sz w:val="18"/>
                <w:szCs w:val="18"/>
              </w:rPr>
            </w:pPr>
            <w:r>
              <w:rPr>
                <w:rFonts w:ascii="宋体" w:hAnsi="宋体"/>
                <w:color w:val="auto"/>
                <w:kern w:val="0"/>
                <w:sz w:val="18"/>
                <w:szCs w:val="18"/>
              </w:rPr>
              <w:t>2.期初账面价值</w:t>
            </w:r>
          </w:p>
        </w:tc>
        <w:tc>
          <w:tcPr>
            <w:tcW w:w="1984" w:type="dxa"/>
            <w:tcBorders>
              <w:top w:val="single" w:color="auto" w:sz="4"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33,892,261.69 </w:t>
            </w:r>
          </w:p>
        </w:tc>
        <w:tc>
          <w:tcPr>
            <w:tcW w:w="1985" w:type="dxa"/>
            <w:tcBorders>
              <w:top w:val="single" w:color="auto" w:sz="4"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623,386.08 </w:t>
            </w:r>
          </w:p>
        </w:tc>
        <w:tc>
          <w:tcPr>
            <w:tcW w:w="1985" w:type="dxa"/>
            <w:tcBorders>
              <w:top w:val="single" w:color="auto" w:sz="4" w:space="0"/>
              <w:left w:val="single" w:color="auto" w:sz="4" w:space="0"/>
              <w:bottom w:val="single" w:color="auto" w:sz="12" w:space="0"/>
              <w:right w:val="nil"/>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34,515,647.77 </w:t>
            </w:r>
          </w:p>
        </w:tc>
      </w:tr>
    </w:tbl>
    <w:p>
      <w:pPr>
        <w:widowControl/>
        <w:spacing w:before="150" w:before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（2）报告期无形资产未发生减值情况，故未计提减值准备。</w:t>
      </w:r>
    </w:p>
    <w:p>
      <w:pPr>
        <w:widowControl/>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（3）截至202</w:t>
      </w:r>
      <w:r>
        <w:rPr>
          <w:rFonts w:ascii="宋体" w:hAnsi="宋体" w:cs="宋体"/>
          <w:color w:val="auto"/>
          <w:kern w:val="0"/>
          <w:szCs w:val="21"/>
        </w:rPr>
        <w:t>2</w:t>
      </w:r>
      <w:r>
        <w:rPr>
          <w:rFonts w:hint="eastAsia" w:ascii="宋体" w:hAnsi="宋体" w:cs="宋体"/>
          <w:color w:val="auto"/>
          <w:kern w:val="0"/>
          <w:szCs w:val="21"/>
        </w:rPr>
        <w:t xml:space="preserve">年12月31日，公司的土地使用权无设定抵押的情况。 </w:t>
      </w:r>
    </w:p>
    <w:p>
      <w:pPr>
        <w:spacing w:after="150" w:afterLines="50" w:line="360" w:lineRule="auto"/>
        <w:ind w:firstLine="420" w:firstLineChars="200"/>
        <w:rPr>
          <w:rFonts w:ascii="宋体" w:hAnsi="宋体"/>
          <w:color w:val="auto"/>
        </w:rPr>
      </w:pPr>
      <w:r>
        <w:rPr>
          <w:rFonts w:hint="eastAsia" w:ascii="宋体" w:hAnsi="宋体"/>
          <w:color w:val="auto"/>
        </w:rPr>
        <w:t>（4）</w:t>
      </w:r>
      <w:r>
        <w:rPr>
          <w:rFonts w:hint="eastAsia" w:ascii="宋体" w:hAnsi="宋体" w:cs="宋体"/>
          <w:color w:val="auto"/>
          <w:kern w:val="0"/>
          <w:szCs w:val="21"/>
        </w:rPr>
        <w:t>截至202</w:t>
      </w:r>
      <w:r>
        <w:rPr>
          <w:rFonts w:ascii="宋体" w:hAnsi="宋体" w:cs="宋体"/>
          <w:color w:val="auto"/>
          <w:kern w:val="0"/>
          <w:szCs w:val="21"/>
        </w:rPr>
        <w:t>2</w:t>
      </w:r>
      <w:r>
        <w:rPr>
          <w:rFonts w:hint="eastAsia" w:ascii="宋体" w:hAnsi="宋体" w:cs="宋体"/>
          <w:color w:val="auto"/>
          <w:kern w:val="0"/>
          <w:szCs w:val="21"/>
        </w:rPr>
        <w:t>年12月31日，</w:t>
      </w:r>
      <w:r>
        <w:rPr>
          <w:rFonts w:hint="eastAsia" w:ascii="宋体" w:hAnsi="宋体"/>
          <w:color w:val="auto"/>
        </w:rPr>
        <w:t>公司无未办妥产权证书的土地使用权情况。</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15、长期待摊费用</w:t>
      </w:r>
    </w:p>
    <w:tbl>
      <w:tblPr>
        <w:tblStyle w:val="9"/>
        <w:tblW w:w="8931" w:type="dxa"/>
        <w:tblCaption w:val="&quot;\\lisheng\共享\1、伟隆2022年度审计\1、2022年度审计\1、附注及报告\2022年\附注计算-伟隆 - 2022.xlsx&quot; &quot;2022附注格式!_ReportTable_0045&quot;"/>
        <w:tblDescription w:val="A351:F353"/>
        <w:tblInd w:w="3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30" w:type="dxa"/>
          <w:bottom w:w="0" w:type="dxa"/>
          <w:right w:w="30" w:type="dxa"/>
        </w:tblCellMar>
      </w:tblPr>
      <w:tblGrid>
        <w:gridCol w:w="1418"/>
        <w:gridCol w:w="1502"/>
        <w:gridCol w:w="1503"/>
        <w:gridCol w:w="1502"/>
        <w:gridCol w:w="1503"/>
        <w:gridCol w:w="1503"/>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PrEx>
        <w:trPr>
          <w:cantSplit/>
          <w:trHeight w:val="454" w:hRule="atLeast"/>
        </w:trPr>
        <w:tc>
          <w:tcPr>
            <w:tcW w:w="1418" w:type="dxa"/>
            <w:vAlign w:val="center"/>
          </w:tcPr>
          <w:p>
            <w:pPr>
              <w:jc w:val="center"/>
              <w:rPr>
                <w:rFonts w:ascii="宋体" w:hAnsi="宋体"/>
                <w:b/>
                <w:color w:val="auto"/>
                <w:sz w:val="18"/>
                <w:szCs w:val="18"/>
              </w:rPr>
            </w:pPr>
            <w:r>
              <w:rPr>
                <w:rFonts w:hint="eastAsia" w:ascii="宋体" w:hAnsi="宋体"/>
                <w:b/>
                <w:color w:val="auto"/>
                <w:sz w:val="18"/>
                <w:szCs w:val="18"/>
              </w:rPr>
              <w:t>项</w:t>
            </w:r>
            <w:r>
              <w:rPr>
                <w:rFonts w:ascii="宋体" w:hAnsi="宋体"/>
                <w:b/>
                <w:color w:val="auto"/>
                <w:sz w:val="18"/>
                <w:szCs w:val="18"/>
              </w:rPr>
              <w:t xml:space="preserve">  目</w:t>
            </w:r>
          </w:p>
        </w:tc>
        <w:tc>
          <w:tcPr>
            <w:tcW w:w="1502" w:type="dxa"/>
            <w:vAlign w:val="center"/>
          </w:tcPr>
          <w:p>
            <w:pPr>
              <w:jc w:val="center"/>
              <w:rPr>
                <w:rFonts w:ascii="宋体" w:hAnsi="宋体"/>
                <w:b/>
                <w:color w:val="auto"/>
                <w:sz w:val="18"/>
                <w:szCs w:val="18"/>
              </w:rPr>
            </w:pPr>
            <w:r>
              <w:rPr>
                <w:rFonts w:hint="eastAsia" w:ascii="宋体" w:hAnsi="宋体"/>
                <w:b/>
                <w:color w:val="auto"/>
                <w:sz w:val="18"/>
                <w:szCs w:val="18"/>
              </w:rPr>
              <w:t>期初余额</w:t>
            </w:r>
          </w:p>
        </w:tc>
        <w:tc>
          <w:tcPr>
            <w:tcW w:w="1503" w:type="dxa"/>
            <w:vAlign w:val="center"/>
          </w:tcPr>
          <w:p>
            <w:pPr>
              <w:jc w:val="center"/>
              <w:rPr>
                <w:rFonts w:ascii="宋体" w:hAnsi="宋体"/>
                <w:b/>
                <w:color w:val="auto"/>
                <w:sz w:val="18"/>
                <w:szCs w:val="18"/>
              </w:rPr>
            </w:pPr>
            <w:r>
              <w:rPr>
                <w:rFonts w:hint="eastAsia" w:ascii="宋体" w:hAnsi="宋体"/>
                <w:b/>
                <w:color w:val="auto"/>
                <w:sz w:val="18"/>
                <w:szCs w:val="18"/>
              </w:rPr>
              <w:t>本期增加金额</w:t>
            </w:r>
          </w:p>
        </w:tc>
        <w:tc>
          <w:tcPr>
            <w:tcW w:w="1502" w:type="dxa"/>
            <w:vAlign w:val="center"/>
          </w:tcPr>
          <w:p>
            <w:pPr>
              <w:jc w:val="center"/>
              <w:rPr>
                <w:rFonts w:ascii="宋体" w:hAnsi="宋体"/>
                <w:b/>
                <w:color w:val="auto"/>
                <w:sz w:val="18"/>
                <w:szCs w:val="18"/>
              </w:rPr>
            </w:pPr>
            <w:r>
              <w:rPr>
                <w:rFonts w:hint="eastAsia" w:ascii="宋体" w:hAnsi="宋体"/>
                <w:b/>
                <w:color w:val="auto"/>
                <w:sz w:val="18"/>
                <w:szCs w:val="18"/>
              </w:rPr>
              <w:t>本期摊销金额</w:t>
            </w:r>
          </w:p>
        </w:tc>
        <w:tc>
          <w:tcPr>
            <w:tcW w:w="1503" w:type="dxa"/>
            <w:vAlign w:val="center"/>
          </w:tcPr>
          <w:p>
            <w:pPr>
              <w:jc w:val="center"/>
              <w:rPr>
                <w:rFonts w:ascii="宋体" w:hAnsi="宋体"/>
                <w:b/>
                <w:color w:val="auto"/>
                <w:sz w:val="18"/>
                <w:szCs w:val="18"/>
              </w:rPr>
            </w:pPr>
            <w:r>
              <w:rPr>
                <w:rFonts w:hint="eastAsia" w:ascii="宋体" w:hAnsi="宋体"/>
                <w:b/>
                <w:color w:val="auto"/>
                <w:sz w:val="18"/>
                <w:szCs w:val="18"/>
              </w:rPr>
              <w:t>其他减少金额</w:t>
            </w:r>
          </w:p>
        </w:tc>
        <w:tc>
          <w:tcPr>
            <w:tcW w:w="1503" w:type="dxa"/>
            <w:vAlign w:val="center"/>
          </w:tcPr>
          <w:p>
            <w:pPr>
              <w:jc w:val="center"/>
              <w:rPr>
                <w:rFonts w:ascii="宋体" w:hAnsi="宋体"/>
                <w:b/>
                <w:color w:val="auto"/>
                <w:sz w:val="18"/>
                <w:szCs w:val="18"/>
              </w:rPr>
            </w:pPr>
            <w:r>
              <w:rPr>
                <w:rFonts w:hint="eastAsia" w:ascii="宋体" w:hAnsi="宋体"/>
                <w:b/>
                <w:color w:val="auto"/>
                <w:sz w:val="18"/>
                <w:szCs w:val="18"/>
              </w:rPr>
              <w:t>期末余额</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CellMar>
            <w:top w:w="0" w:type="dxa"/>
            <w:left w:w="30" w:type="dxa"/>
            <w:bottom w:w="0" w:type="dxa"/>
            <w:right w:w="30" w:type="dxa"/>
          </w:tblCellMar>
        </w:tblPrEx>
        <w:trPr>
          <w:cantSplit/>
          <w:trHeight w:val="454" w:hRule="atLeast"/>
        </w:trPr>
        <w:tc>
          <w:tcPr>
            <w:tcW w:w="1418" w:type="dxa"/>
            <w:vAlign w:val="bottom"/>
          </w:tcPr>
          <w:p>
            <w:pPr>
              <w:rPr>
                <w:rFonts w:ascii="宋体" w:hAnsi="宋体" w:cs="宋体"/>
                <w:color w:val="auto"/>
                <w:sz w:val="18"/>
                <w:szCs w:val="18"/>
              </w:rPr>
            </w:pPr>
            <w:r>
              <w:rPr>
                <w:rFonts w:hint="eastAsia"/>
                <w:color w:val="auto"/>
                <w:sz w:val="18"/>
                <w:szCs w:val="18"/>
              </w:rPr>
              <w:t>房屋改造费用</w:t>
            </w:r>
          </w:p>
        </w:tc>
        <w:tc>
          <w:tcPr>
            <w:tcW w:w="1502" w:type="dxa"/>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1,212,383.99 </w:t>
            </w:r>
          </w:p>
        </w:tc>
        <w:tc>
          <w:tcPr>
            <w:tcW w:w="1503" w:type="dxa"/>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1,065,137.63</w:t>
            </w:r>
          </w:p>
        </w:tc>
        <w:tc>
          <w:tcPr>
            <w:tcW w:w="1502" w:type="dxa"/>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242,929.50</w:t>
            </w:r>
          </w:p>
        </w:tc>
        <w:tc>
          <w:tcPr>
            <w:tcW w:w="1503" w:type="dxa"/>
            <w:vAlign w:val="bottom"/>
          </w:tcPr>
          <w:p>
            <w:pPr>
              <w:autoSpaceDE w:val="0"/>
              <w:autoSpaceDN w:val="0"/>
              <w:adjustRightInd w:val="0"/>
              <w:jc w:val="right"/>
              <w:rPr>
                <w:rFonts w:ascii="宋体" w:hAnsi="宋体" w:cs="宋体"/>
                <w:color w:val="auto"/>
                <w:kern w:val="0"/>
                <w:sz w:val="18"/>
                <w:szCs w:val="18"/>
              </w:rPr>
            </w:pPr>
          </w:p>
        </w:tc>
        <w:tc>
          <w:tcPr>
            <w:tcW w:w="1503" w:type="dxa"/>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2,034,592.12</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PrEx>
        <w:trPr>
          <w:cantSplit/>
          <w:trHeight w:val="454" w:hRule="atLeast"/>
        </w:trPr>
        <w:tc>
          <w:tcPr>
            <w:tcW w:w="1418" w:type="dxa"/>
            <w:vAlign w:val="bottom"/>
          </w:tcPr>
          <w:p>
            <w:pPr>
              <w:jc w:val="center"/>
              <w:rPr>
                <w:rFonts w:ascii="宋体" w:hAnsi="宋体" w:cs="宋体"/>
                <w:b/>
                <w:bCs/>
                <w:color w:val="auto"/>
                <w:sz w:val="18"/>
                <w:szCs w:val="18"/>
              </w:rPr>
            </w:pPr>
            <w:r>
              <w:rPr>
                <w:rFonts w:hint="eastAsia" w:ascii="宋体" w:hAnsi="宋体"/>
                <w:b/>
                <w:bCs/>
                <w:color w:val="auto"/>
                <w:sz w:val="18"/>
                <w:szCs w:val="18"/>
              </w:rPr>
              <w:t>合计</w:t>
            </w:r>
          </w:p>
        </w:tc>
        <w:tc>
          <w:tcPr>
            <w:tcW w:w="1502" w:type="dxa"/>
            <w:vAlign w:val="bottom"/>
          </w:tcPr>
          <w:p>
            <w:pPr>
              <w:jc w:val="right"/>
              <w:rPr>
                <w:rFonts w:cs="宋体" w:asciiTheme="minorEastAsia" w:hAnsiTheme="minorEastAsia" w:eastAsiaTheme="minorEastAsia"/>
                <w:b/>
                <w:bCs/>
                <w:color w:val="auto"/>
                <w:sz w:val="18"/>
                <w:szCs w:val="18"/>
              </w:rPr>
            </w:pPr>
            <w:r>
              <w:rPr>
                <w:rFonts w:ascii="宋体" w:hAnsi="宋体" w:cs="宋体"/>
                <w:b/>
                <w:bCs/>
                <w:color w:val="auto"/>
                <w:kern w:val="0"/>
                <w:sz w:val="18"/>
                <w:szCs w:val="18"/>
              </w:rPr>
              <w:t xml:space="preserve">1,212,383.99 </w:t>
            </w:r>
          </w:p>
        </w:tc>
        <w:tc>
          <w:tcPr>
            <w:tcW w:w="1503" w:type="dxa"/>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1,065,137.63</w:t>
            </w:r>
          </w:p>
        </w:tc>
        <w:tc>
          <w:tcPr>
            <w:tcW w:w="1502" w:type="dxa"/>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242,929.50</w:t>
            </w:r>
          </w:p>
        </w:tc>
        <w:tc>
          <w:tcPr>
            <w:tcW w:w="1503" w:type="dxa"/>
            <w:vAlign w:val="bottom"/>
          </w:tcPr>
          <w:p>
            <w:pPr>
              <w:autoSpaceDE w:val="0"/>
              <w:autoSpaceDN w:val="0"/>
              <w:adjustRightInd w:val="0"/>
              <w:jc w:val="right"/>
              <w:rPr>
                <w:rFonts w:ascii="宋体" w:hAnsi="宋体" w:cs="宋体"/>
                <w:b/>
                <w:bCs/>
                <w:color w:val="auto"/>
                <w:kern w:val="0"/>
                <w:sz w:val="18"/>
                <w:szCs w:val="18"/>
              </w:rPr>
            </w:pPr>
          </w:p>
        </w:tc>
        <w:tc>
          <w:tcPr>
            <w:tcW w:w="1503" w:type="dxa"/>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2,034,592.12</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16、递延所得税资产/递延所得税负债</w:t>
      </w:r>
    </w:p>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（1）未经抵销的递延所得税资产：</w:t>
      </w:r>
    </w:p>
    <w:tbl>
      <w:tblPr>
        <w:tblStyle w:val="9"/>
        <w:tblW w:w="4914" w:type="pct"/>
        <w:tblCaption w:val="&quot;\\lisheng\共享\1、伟隆2022年度审计\1、2022年度审计\1、附注及报告\2022年\附注计算-伟隆 - 2022.xlsx&quot; &quot;2022附注格式!_ReportTable_0046&quot;"/>
        <w:tblDescription w:val="A356:E366"/>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3"/>
        <w:gridCol w:w="1882"/>
        <w:gridCol w:w="1883"/>
        <w:gridCol w:w="188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12" w:type="pct"/>
            <w:vMerge w:val="restart"/>
            <w:tcBorders>
              <w:top w:val="single" w:color="auto" w:sz="12" w:space="0"/>
              <w:left w:val="nil"/>
              <w:bottom w:val="single" w:color="auto" w:sz="12" w:space="0"/>
              <w:right w:val="single" w:color="auto" w:sz="4" w:space="0"/>
            </w:tcBorders>
            <w:vAlign w:val="center"/>
          </w:tcPr>
          <w:p>
            <w:pPr>
              <w:jc w:val="center"/>
              <w:rPr>
                <w:rFonts w:ascii="宋体" w:hAnsi="宋体" w:cs="宋体"/>
                <w:b/>
                <w:color w:val="auto"/>
                <w:kern w:val="0"/>
                <w:sz w:val="18"/>
                <w:szCs w:val="18"/>
              </w:rPr>
            </w:pPr>
            <w:r>
              <w:rPr>
                <w:rFonts w:hint="eastAsia" w:ascii="宋体" w:hAnsi="宋体" w:cs="宋体"/>
                <w:b/>
                <w:color w:val="auto"/>
                <w:kern w:val="0"/>
                <w:sz w:val="18"/>
                <w:szCs w:val="18"/>
              </w:rPr>
              <w:t>项</w:t>
            </w:r>
            <w:r>
              <w:rPr>
                <w:rFonts w:ascii="宋体" w:hAnsi="宋体" w:cs="宋体"/>
                <w:b/>
                <w:color w:val="auto"/>
                <w:kern w:val="0"/>
                <w:sz w:val="18"/>
                <w:szCs w:val="18"/>
              </w:rPr>
              <w:t>目</w:t>
            </w:r>
          </w:p>
        </w:tc>
        <w:tc>
          <w:tcPr>
            <w:tcW w:w="1944" w:type="pct"/>
            <w:gridSpan w:val="2"/>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color w:val="auto"/>
                <w:kern w:val="0"/>
                <w:sz w:val="18"/>
                <w:szCs w:val="18"/>
              </w:rPr>
            </w:pPr>
            <w:r>
              <w:rPr>
                <w:rFonts w:hint="eastAsia" w:ascii="宋体" w:hAnsi="宋体"/>
                <w:b/>
                <w:color w:val="auto"/>
                <w:sz w:val="18"/>
                <w:szCs w:val="18"/>
              </w:rPr>
              <w:t>期末余额</w:t>
            </w:r>
          </w:p>
        </w:tc>
        <w:tc>
          <w:tcPr>
            <w:tcW w:w="1944" w:type="pct"/>
            <w:gridSpan w:val="2"/>
            <w:tcBorders>
              <w:top w:val="single" w:color="auto" w:sz="12" w:space="0"/>
              <w:left w:val="single" w:color="auto" w:sz="4" w:space="0"/>
              <w:bottom w:val="single" w:color="auto" w:sz="4" w:space="0"/>
              <w:right w:val="nil"/>
            </w:tcBorders>
            <w:vAlign w:val="center"/>
          </w:tcPr>
          <w:p>
            <w:pPr>
              <w:jc w:val="center"/>
              <w:rPr>
                <w:rFonts w:ascii="宋体" w:hAnsi="宋体" w:cs="宋体"/>
                <w:b/>
                <w:color w:val="auto"/>
                <w:kern w:val="0"/>
                <w:sz w:val="18"/>
                <w:szCs w:val="18"/>
              </w:rPr>
            </w:pPr>
            <w:r>
              <w:rPr>
                <w:rFonts w:hint="eastAsia" w:ascii="宋体" w:hAnsi="宋体" w:cs="宋体"/>
                <w:b/>
                <w:color w:val="auto"/>
                <w:kern w:val="0"/>
                <w:sz w:val="18"/>
                <w:szCs w:val="18"/>
              </w:rPr>
              <w:t>期初余额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2" w:type="pct"/>
            <w:vMerge w:val="continue"/>
            <w:tcBorders>
              <w:top w:val="single" w:color="auto" w:sz="12" w:space="0"/>
              <w:left w:val="nil"/>
              <w:bottom w:val="single" w:color="auto" w:sz="12" w:space="0"/>
              <w:right w:val="single" w:color="auto" w:sz="4" w:space="0"/>
            </w:tcBorders>
            <w:vAlign w:val="center"/>
          </w:tcPr>
          <w:p>
            <w:pPr>
              <w:widowControl/>
              <w:jc w:val="left"/>
              <w:rPr>
                <w:rFonts w:ascii="宋体" w:hAnsi="宋体" w:cs="宋体"/>
                <w:b/>
                <w:color w:val="auto"/>
                <w:kern w:val="0"/>
                <w:sz w:val="18"/>
                <w:szCs w:val="18"/>
              </w:rPr>
            </w:pPr>
          </w:p>
        </w:tc>
        <w:tc>
          <w:tcPr>
            <w:tcW w:w="972"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可抵扣暂时性差异</w:t>
            </w:r>
          </w:p>
        </w:tc>
        <w:tc>
          <w:tcPr>
            <w:tcW w:w="972"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递延所得税资产</w:t>
            </w:r>
          </w:p>
        </w:tc>
        <w:tc>
          <w:tcPr>
            <w:tcW w:w="972"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cs="宋体"/>
                <w:b/>
                <w:color w:val="auto"/>
                <w:kern w:val="0"/>
                <w:sz w:val="18"/>
                <w:szCs w:val="18"/>
              </w:rPr>
            </w:pPr>
            <w:r>
              <w:rPr>
                <w:rFonts w:hint="eastAsia" w:ascii="宋体" w:hAnsi="宋体"/>
                <w:b/>
                <w:color w:val="auto"/>
                <w:sz w:val="18"/>
                <w:szCs w:val="18"/>
              </w:rPr>
              <w:t>可抵扣暂时性差异</w:t>
            </w:r>
          </w:p>
        </w:tc>
        <w:tc>
          <w:tcPr>
            <w:tcW w:w="972" w:type="pct"/>
            <w:tcBorders>
              <w:top w:val="single" w:color="auto" w:sz="4" w:space="0"/>
              <w:left w:val="single" w:color="auto" w:sz="4" w:space="0"/>
              <w:bottom w:val="single" w:color="auto" w:sz="12" w:space="0"/>
              <w:right w:val="nil"/>
            </w:tcBorders>
            <w:vAlign w:val="center"/>
          </w:tcPr>
          <w:p>
            <w:pPr>
              <w:jc w:val="center"/>
              <w:rPr>
                <w:rFonts w:ascii="宋体" w:hAnsi="宋体" w:cs="宋体"/>
                <w:b/>
                <w:color w:val="auto"/>
                <w:kern w:val="0"/>
                <w:sz w:val="18"/>
                <w:szCs w:val="18"/>
              </w:rPr>
            </w:pPr>
            <w:r>
              <w:rPr>
                <w:rFonts w:hint="eastAsia" w:ascii="宋体" w:hAnsi="宋体"/>
                <w:b/>
                <w:color w:val="auto"/>
                <w:sz w:val="18"/>
                <w:szCs w:val="18"/>
              </w:rPr>
              <w:t>递延所得税资产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12" w:type="pct"/>
            <w:tcBorders>
              <w:top w:val="single" w:color="auto" w:sz="12" w:space="0"/>
              <w:left w:val="nil"/>
              <w:bottom w:val="single" w:color="auto" w:sz="4" w:space="0"/>
              <w:right w:val="single" w:color="auto" w:sz="4" w:space="0"/>
            </w:tcBorders>
            <w:vAlign w:val="bottom"/>
          </w:tcPr>
          <w:p>
            <w:pPr>
              <w:jc w:val="lef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存货跌价准备</w:t>
            </w:r>
          </w:p>
        </w:tc>
        <w:tc>
          <w:tcPr>
            <w:tcW w:w="972"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3,710,284.19 </w:t>
            </w:r>
          </w:p>
        </w:tc>
        <w:tc>
          <w:tcPr>
            <w:tcW w:w="972"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556,542.64 </w:t>
            </w:r>
          </w:p>
        </w:tc>
        <w:tc>
          <w:tcPr>
            <w:tcW w:w="972"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3,082,670.01 </w:t>
            </w:r>
          </w:p>
        </w:tc>
        <w:tc>
          <w:tcPr>
            <w:tcW w:w="972" w:type="pct"/>
            <w:tcBorders>
              <w:top w:val="single" w:color="auto" w:sz="12"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462,400.50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2" w:type="pct"/>
            <w:tcBorders>
              <w:top w:val="single" w:color="auto" w:sz="4" w:space="0"/>
              <w:left w:val="nil"/>
              <w:bottom w:val="single" w:color="auto" w:sz="4" w:space="0"/>
              <w:right w:val="single" w:color="auto" w:sz="4" w:space="0"/>
            </w:tcBorders>
            <w:vAlign w:val="bottom"/>
          </w:tcPr>
          <w:p>
            <w:pPr>
              <w:jc w:val="lef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可抵扣亏损</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53,120,350.07 </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8,042,214.11 </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59,889,232.49 </w:t>
            </w:r>
          </w:p>
        </w:tc>
        <w:tc>
          <w:tcPr>
            <w:tcW w:w="972" w:type="pct"/>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8,983,541.90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12" w:type="pct"/>
            <w:tcBorders>
              <w:top w:val="single" w:color="auto" w:sz="4" w:space="0"/>
              <w:left w:val="nil"/>
              <w:bottom w:val="single" w:color="auto" w:sz="4" w:space="0"/>
              <w:right w:val="single" w:color="auto" w:sz="4" w:space="0"/>
            </w:tcBorders>
            <w:vAlign w:val="bottom"/>
          </w:tcPr>
          <w:p>
            <w:pPr>
              <w:jc w:val="lef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坏账准备</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8,722,751.56 </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1,318,993.14 </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7,726,760.77 </w:t>
            </w:r>
          </w:p>
        </w:tc>
        <w:tc>
          <w:tcPr>
            <w:tcW w:w="972" w:type="pct"/>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1,178,106.36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12" w:type="pct"/>
            <w:tcBorders>
              <w:top w:val="single" w:color="auto" w:sz="4" w:space="0"/>
              <w:left w:val="nil"/>
              <w:bottom w:val="single" w:color="auto" w:sz="4" w:space="0"/>
              <w:right w:val="single" w:color="auto" w:sz="4" w:space="0"/>
            </w:tcBorders>
            <w:vAlign w:val="bottom"/>
          </w:tcPr>
          <w:p>
            <w:pPr>
              <w:jc w:val="lef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递延收益</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10,523,634.82 </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2,242,803.36 </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11,242,874.68 </w:t>
            </w:r>
          </w:p>
        </w:tc>
        <w:tc>
          <w:tcPr>
            <w:tcW w:w="972" w:type="pct"/>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2,367,685.29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12" w:type="pct"/>
            <w:tcBorders>
              <w:top w:val="single" w:color="auto" w:sz="4" w:space="0"/>
              <w:left w:val="nil"/>
              <w:bottom w:val="single" w:color="auto" w:sz="4" w:space="0"/>
              <w:right w:val="single" w:color="auto" w:sz="4" w:space="0"/>
            </w:tcBorders>
            <w:vAlign w:val="bottom"/>
          </w:tcPr>
          <w:p>
            <w:pPr>
              <w:jc w:val="lef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股权激励</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4,299,570.35 </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644,935.55 </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1,055,133.34 </w:t>
            </w:r>
          </w:p>
        </w:tc>
        <w:tc>
          <w:tcPr>
            <w:tcW w:w="972" w:type="pct"/>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158,270.00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12" w:type="pct"/>
            <w:tcBorders>
              <w:top w:val="single" w:color="auto" w:sz="4" w:space="0"/>
              <w:left w:val="nil"/>
              <w:bottom w:val="single" w:color="auto" w:sz="4" w:space="0"/>
              <w:right w:val="single" w:color="auto" w:sz="4" w:space="0"/>
            </w:tcBorders>
            <w:vAlign w:val="bottom"/>
          </w:tcPr>
          <w:p>
            <w:pPr>
              <w:jc w:val="lef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内部交易未实现利润</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64,789.25 </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9,718.39 </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333,459.03 </w:t>
            </w:r>
          </w:p>
        </w:tc>
        <w:tc>
          <w:tcPr>
            <w:tcW w:w="972" w:type="pct"/>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50,454.83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12" w:type="pct"/>
            <w:tcBorders>
              <w:top w:val="single" w:color="auto" w:sz="4" w:space="0"/>
              <w:left w:val="nil"/>
              <w:bottom w:val="single" w:color="auto" w:sz="4" w:space="0"/>
              <w:right w:val="single" w:color="auto" w:sz="4" w:space="0"/>
            </w:tcBorders>
            <w:vAlign w:val="bottom"/>
          </w:tcPr>
          <w:p>
            <w:pPr>
              <w:jc w:val="left"/>
              <w:rPr>
                <w:rFonts w:cs="宋体"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交易性金融负债公允价值变动</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972" w:type="pct"/>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12" w:type="pct"/>
            <w:tcBorders>
              <w:top w:val="single" w:color="auto" w:sz="4" w:space="0"/>
              <w:left w:val="nil"/>
              <w:bottom w:val="single" w:color="auto" w:sz="4" w:space="0"/>
              <w:right w:val="single" w:color="auto" w:sz="4" w:space="0"/>
            </w:tcBorders>
            <w:vAlign w:val="bottom"/>
          </w:tcPr>
          <w:p>
            <w:pPr>
              <w:jc w:val="lef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环保设备抵税额</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6,815,814.40</w:t>
            </w:r>
            <w:r>
              <w:rPr>
                <w:rFonts w:hint="eastAsia" w:asciiTheme="minorEastAsia" w:hAnsiTheme="minorEastAsia" w:eastAsiaTheme="minorEastAsia"/>
                <w:color w:val="auto"/>
                <w:sz w:val="18"/>
                <w:szCs w:val="18"/>
              </w:rPr>
              <w:t xml:space="preserve"> </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1,022,372.16 </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6,798,823.27 </w:t>
            </w:r>
          </w:p>
        </w:tc>
        <w:tc>
          <w:tcPr>
            <w:tcW w:w="972" w:type="pct"/>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1,019,823.49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12" w:type="pct"/>
            <w:tcBorders>
              <w:top w:val="single" w:color="auto" w:sz="12" w:space="0"/>
              <w:left w:val="nil"/>
              <w:bottom w:val="single" w:color="auto" w:sz="12" w:space="0"/>
              <w:right w:val="single" w:color="auto" w:sz="4" w:space="0"/>
            </w:tcBorders>
            <w:vAlign w:val="bottom"/>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合计</w:t>
            </w:r>
          </w:p>
        </w:tc>
        <w:tc>
          <w:tcPr>
            <w:tcW w:w="972"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87,257,194.64 </w:t>
            </w:r>
          </w:p>
        </w:tc>
        <w:tc>
          <w:tcPr>
            <w:tcW w:w="972"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13,837,579.35 </w:t>
            </w:r>
          </w:p>
        </w:tc>
        <w:tc>
          <w:tcPr>
            <w:tcW w:w="972"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90,128,953.59 </w:t>
            </w:r>
          </w:p>
        </w:tc>
        <w:tc>
          <w:tcPr>
            <w:tcW w:w="972" w:type="pct"/>
            <w:tcBorders>
              <w:top w:val="single" w:color="auto" w:sz="12" w:space="0"/>
              <w:left w:val="single" w:color="auto" w:sz="4" w:space="0"/>
              <w:bottom w:val="single" w:color="auto" w:sz="12" w:space="0"/>
              <w:right w:val="nil"/>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14,220,282.37 </w:t>
            </w:r>
          </w:p>
        </w:tc>
      </w:tr>
    </w:tbl>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（2）未经抵销的递延所得税负债：</w:t>
      </w:r>
    </w:p>
    <w:tbl>
      <w:tblPr>
        <w:tblStyle w:val="9"/>
        <w:tblW w:w="4914" w:type="pct"/>
        <w:tblCaption w:val="&quot;\\lisheng\共享\1、伟隆2022年度审计\1、2022年度审计\1、附注及报告\2022年\附注计算-伟隆 - 2022.xlsx&quot; &quot;2022附注格式!_ReportTable_0046&quot;"/>
        <w:tblDescription w:val="A356:E366"/>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3"/>
        <w:gridCol w:w="1882"/>
        <w:gridCol w:w="1883"/>
        <w:gridCol w:w="188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12" w:type="pct"/>
            <w:vMerge w:val="restart"/>
            <w:tcBorders>
              <w:top w:val="single" w:color="auto" w:sz="12" w:space="0"/>
              <w:left w:val="nil"/>
              <w:bottom w:val="single" w:color="auto" w:sz="12" w:space="0"/>
              <w:right w:val="single" w:color="auto" w:sz="4" w:space="0"/>
            </w:tcBorders>
            <w:vAlign w:val="center"/>
          </w:tcPr>
          <w:p>
            <w:pPr>
              <w:jc w:val="center"/>
              <w:rPr>
                <w:rFonts w:ascii="宋体" w:hAnsi="宋体" w:cs="宋体"/>
                <w:b/>
                <w:color w:val="auto"/>
                <w:kern w:val="0"/>
                <w:sz w:val="18"/>
                <w:szCs w:val="18"/>
              </w:rPr>
            </w:pPr>
            <w:r>
              <w:rPr>
                <w:rFonts w:hint="eastAsia" w:ascii="宋体" w:hAnsi="宋体" w:cs="宋体"/>
                <w:b/>
                <w:color w:val="auto"/>
                <w:kern w:val="0"/>
                <w:sz w:val="18"/>
                <w:szCs w:val="18"/>
              </w:rPr>
              <w:t>项</w:t>
            </w:r>
            <w:r>
              <w:rPr>
                <w:rFonts w:ascii="宋体" w:hAnsi="宋体" w:cs="宋体"/>
                <w:b/>
                <w:color w:val="auto"/>
                <w:kern w:val="0"/>
                <w:sz w:val="18"/>
                <w:szCs w:val="18"/>
              </w:rPr>
              <w:t>目</w:t>
            </w:r>
          </w:p>
        </w:tc>
        <w:tc>
          <w:tcPr>
            <w:tcW w:w="1944" w:type="pct"/>
            <w:gridSpan w:val="2"/>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color w:val="auto"/>
                <w:kern w:val="0"/>
                <w:sz w:val="18"/>
                <w:szCs w:val="18"/>
              </w:rPr>
            </w:pPr>
            <w:r>
              <w:rPr>
                <w:rFonts w:hint="eastAsia" w:ascii="宋体" w:hAnsi="宋体"/>
                <w:b/>
                <w:color w:val="auto"/>
                <w:sz w:val="18"/>
                <w:szCs w:val="18"/>
              </w:rPr>
              <w:t>期末余额</w:t>
            </w:r>
          </w:p>
        </w:tc>
        <w:tc>
          <w:tcPr>
            <w:tcW w:w="1944" w:type="pct"/>
            <w:gridSpan w:val="2"/>
            <w:tcBorders>
              <w:top w:val="single" w:color="auto" w:sz="12" w:space="0"/>
              <w:left w:val="single" w:color="auto" w:sz="4" w:space="0"/>
              <w:bottom w:val="single" w:color="auto" w:sz="4" w:space="0"/>
              <w:right w:val="nil"/>
            </w:tcBorders>
            <w:vAlign w:val="center"/>
          </w:tcPr>
          <w:p>
            <w:pPr>
              <w:jc w:val="center"/>
              <w:rPr>
                <w:rFonts w:ascii="宋体" w:hAnsi="宋体" w:cs="宋体"/>
                <w:b/>
                <w:color w:val="auto"/>
                <w:kern w:val="0"/>
                <w:sz w:val="18"/>
                <w:szCs w:val="18"/>
              </w:rPr>
            </w:pPr>
            <w:r>
              <w:rPr>
                <w:rFonts w:hint="eastAsia" w:ascii="宋体" w:hAnsi="宋体" w:cs="宋体"/>
                <w:b/>
                <w:color w:val="auto"/>
                <w:kern w:val="0"/>
                <w:sz w:val="18"/>
                <w:szCs w:val="18"/>
              </w:rPr>
              <w:t>期初余额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2" w:type="pct"/>
            <w:vMerge w:val="continue"/>
            <w:tcBorders>
              <w:top w:val="single" w:color="auto" w:sz="12" w:space="0"/>
              <w:left w:val="nil"/>
              <w:bottom w:val="single" w:color="auto" w:sz="12" w:space="0"/>
              <w:right w:val="single" w:color="auto" w:sz="4" w:space="0"/>
            </w:tcBorders>
            <w:vAlign w:val="center"/>
          </w:tcPr>
          <w:p>
            <w:pPr>
              <w:widowControl/>
              <w:jc w:val="left"/>
              <w:rPr>
                <w:rFonts w:ascii="宋体" w:hAnsi="宋体" w:cs="宋体"/>
                <w:b/>
                <w:color w:val="auto"/>
                <w:kern w:val="0"/>
                <w:sz w:val="18"/>
                <w:szCs w:val="18"/>
              </w:rPr>
            </w:pPr>
          </w:p>
        </w:tc>
        <w:tc>
          <w:tcPr>
            <w:tcW w:w="972"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Theme="minorEastAsia" w:hAnsiTheme="minorEastAsia" w:eastAsiaTheme="minorEastAsia"/>
                <w:b/>
                <w:bCs/>
                <w:color w:val="auto"/>
                <w:sz w:val="18"/>
                <w:szCs w:val="18"/>
              </w:rPr>
              <w:t>应纳税暂时性差异</w:t>
            </w:r>
          </w:p>
        </w:tc>
        <w:tc>
          <w:tcPr>
            <w:tcW w:w="972"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Theme="minorEastAsia" w:hAnsiTheme="minorEastAsia" w:eastAsiaTheme="minorEastAsia"/>
                <w:b/>
                <w:bCs/>
                <w:color w:val="auto"/>
                <w:sz w:val="18"/>
                <w:szCs w:val="18"/>
              </w:rPr>
              <w:t>递延所得税负债</w:t>
            </w:r>
          </w:p>
        </w:tc>
        <w:tc>
          <w:tcPr>
            <w:tcW w:w="972"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cs="宋体"/>
                <w:b/>
                <w:color w:val="auto"/>
                <w:kern w:val="0"/>
                <w:sz w:val="18"/>
                <w:szCs w:val="18"/>
              </w:rPr>
            </w:pPr>
            <w:r>
              <w:rPr>
                <w:rFonts w:hint="eastAsia" w:asciiTheme="minorEastAsia" w:hAnsiTheme="minorEastAsia" w:eastAsiaTheme="minorEastAsia"/>
                <w:b/>
                <w:bCs/>
                <w:color w:val="auto"/>
                <w:sz w:val="18"/>
                <w:szCs w:val="18"/>
              </w:rPr>
              <w:t>应纳税暂时性差异</w:t>
            </w:r>
          </w:p>
        </w:tc>
        <w:tc>
          <w:tcPr>
            <w:tcW w:w="972" w:type="pct"/>
            <w:tcBorders>
              <w:top w:val="single" w:color="auto" w:sz="4" w:space="0"/>
              <w:left w:val="single" w:color="auto" w:sz="4" w:space="0"/>
              <w:bottom w:val="single" w:color="auto" w:sz="12" w:space="0"/>
              <w:right w:val="nil"/>
            </w:tcBorders>
            <w:vAlign w:val="center"/>
          </w:tcPr>
          <w:p>
            <w:pPr>
              <w:jc w:val="center"/>
              <w:rPr>
                <w:rFonts w:ascii="宋体" w:hAnsi="宋体" w:cs="宋体"/>
                <w:b/>
                <w:color w:val="auto"/>
                <w:kern w:val="0"/>
                <w:sz w:val="18"/>
                <w:szCs w:val="18"/>
              </w:rPr>
            </w:pPr>
            <w:r>
              <w:rPr>
                <w:rFonts w:hint="eastAsia" w:asciiTheme="minorEastAsia" w:hAnsiTheme="minorEastAsia" w:eastAsiaTheme="minorEastAsia"/>
                <w:b/>
                <w:bCs/>
                <w:color w:val="auto"/>
                <w:sz w:val="18"/>
                <w:szCs w:val="18"/>
              </w:rPr>
              <w:t>递延所得税负债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12" w:type="pct"/>
            <w:tcBorders>
              <w:top w:val="single" w:color="auto" w:sz="4" w:space="0"/>
              <w:left w:val="nil"/>
              <w:bottom w:val="single" w:color="auto" w:sz="4" w:space="0"/>
              <w:right w:val="single" w:color="auto" w:sz="4" w:space="0"/>
            </w:tcBorders>
            <w:vAlign w:val="bottom"/>
          </w:tcPr>
          <w:p>
            <w:pPr>
              <w:jc w:val="left"/>
              <w:rPr>
                <w:rFonts w:cs="宋体" w:asciiTheme="minorEastAsia" w:hAnsiTheme="minorEastAsia" w:eastAsiaTheme="minorEastAsia"/>
                <w:color w:val="auto"/>
                <w:sz w:val="18"/>
                <w:szCs w:val="18"/>
              </w:rPr>
            </w:pPr>
            <w:r>
              <w:rPr>
                <w:rFonts w:hint="eastAsia" w:ascii="宋体" w:hAnsi="宋体"/>
                <w:color w:val="auto"/>
                <w:kern w:val="0"/>
                <w:sz w:val="18"/>
                <w:szCs w:val="18"/>
              </w:rPr>
              <w:t>固定资产税前一次性扣除</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 xml:space="preserve">17,087,677.37 </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 xml:space="preserve">2,563,151.61 </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19,572,647.07 </w:t>
            </w:r>
          </w:p>
        </w:tc>
        <w:tc>
          <w:tcPr>
            <w:tcW w:w="972" w:type="pct"/>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2,935,897.06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2" w:type="pct"/>
            <w:tcBorders>
              <w:top w:val="single" w:color="auto" w:sz="4" w:space="0"/>
              <w:left w:val="nil"/>
              <w:bottom w:val="single" w:color="auto" w:sz="4" w:space="0"/>
              <w:right w:val="single" w:color="auto" w:sz="4" w:space="0"/>
            </w:tcBorders>
            <w:vAlign w:val="bottom"/>
          </w:tcPr>
          <w:p>
            <w:pPr>
              <w:jc w:val="left"/>
              <w:rPr>
                <w:rFonts w:cs="宋体" w:asciiTheme="minorEastAsia" w:hAnsiTheme="minorEastAsia" w:eastAsiaTheme="minorEastAsia"/>
                <w:color w:val="auto"/>
                <w:sz w:val="18"/>
                <w:szCs w:val="18"/>
              </w:rPr>
            </w:pPr>
            <w:r>
              <w:rPr>
                <w:rFonts w:hint="eastAsia" w:asciiTheme="minorEastAsia" w:hAnsiTheme="minorEastAsia" w:eastAsiaTheme="minorEastAsia"/>
                <w:bCs/>
                <w:color w:val="auto"/>
                <w:sz w:val="18"/>
                <w:szCs w:val="18"/>
              </w:rPr>
              <w:t>交易性金融资产公允价值变动</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 xml:space="preserve">638,207.57 </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 xml:space="preserve">92,020.21 </w:t>
            </w:r>
          </w:p>
        </w:tc>
        <w:tc>
          <w:tcPr>
            <w:tcW w:w="972"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2,606,030.67 </w:t>
            </w:r>
          </w:p>
        </w:tc>
        <w:tc>
          <w:tcPr>
            <w:tcW w:w="972" w:type="pct"/>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390,904.60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12" w:type="pct"/>
            <w:tcBorders>
              <w:top w:val="single" w:color="auto" w:sz="12" w:space="0"/>
              <w:left w:val="nil"/>
              <w:bottom w:val="single" w:color="auto" w:sz="12" w:space="0"/>
              <w:right w:val="single" w:color="auto" w:sz="4" w:space="0"/>
            </w:tcBorders>
            <w:vAlign w:val="bottom"/>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合计</w:t>
            </w:r>
          </w:p>
        </w:tc>
        <w:tc>
          <w:tcPr>
            <w:tcW w:w="972" w:type="pct"/>
            <w:tcBorders>
              <w:top w:val="single" w:color="auto" w:sz="12" w:space="0"/>
              <w:left w:val="single" w:color="auto" w:sz="4" w:space="0"/>
              <w:bottom w:val="single" w:color="auto" w:sz="12" w:space="0"/>
              <w:right w:val="single" w:color="auto" w:sz="4" w:space="0"/>
            </w:tcBorders>
            <w:vAlign w:val="bottom"/>
          </w:tcPr>
          <w:p>
            <w:pPr>
              <w:jc w:val="right"/>
              <w:rPr>
                <w:rFonts w:ascii="宋体" w:hAnsi="宋体" w:cs="宋体"/>
                <w:b/>
                <w:bCs/>
                <w:color w:val="auto"/>
                <w:sz w:val="18"/>
                <w:szCs w:val="18"/>
              </w:rPr>
            </w:pPr>
            <w:r>
              <w:rPr>
                <w:rFonts w:ascii="宋体" w:hAnsi="宋体"/>
                <w:b/>
                <w:bCs/>
                <w:color w:val="auto"/>
                <w:sz w:val="18"/>
                <w:szCs w:val="18"/>
              </w:rPr>
              <w:t xml:space="preserve">17,725,884.94 </w:t>
            </w:r>
          </w:p>
        </w:tc>
        <w:tc>
          <w:tcPr>
            <w:tcW w:w="972" w:type="pct"/>
            <w:tcBorders>
              <w:top w:val="single" w:color="auto" w:sz="12" w:space="0"/>
              <w:left w:val="single" w:color="auto" w:sz="4" w:space="0"/>
              <w:bottom w:val="single" w:color="auto" w:sz="12" w:space="0"/>
              <w:right w:val="single" w:color="auto" w:sz="4" w:space="0"/>
            </w:tcBorders>
            <w:vAlign w:val="bottom"/>
          </w:tcPr>
          <w:p>
            <w:pPr>
              <w:jc w:val="right"/>
              <w:rPr>
                <w:rFonts w:ascii="宋体" w:hAnsi="宋体" w:cs="宋体"/>
                <w:b/>
                <w:bCs/>
                <w:color w:val="auto"/>
                <w:sz w:val="18"/>
                <w:szCs w:val="18"/>
              </w:rPr>
            </w:pPr>
            <w:r>
              <w:rPr>
                <w:rFonts w:ascii="宋体" w:hAnsi="宋体"/>
                <w:b/>
                <w:bCs/>
                <w:color w:val="auto"/>
                <w:sz w:val="18"/>
                <w:szCs w:val="18"/>
              </w:rPr>
              <w:t xml:space="preserve">2,655,171.82 </w:t>
            </w:r>
          </w:p>
        </w:tc>
        <w:tc>
          <w:tcPr>
            <w:tcW w:w="972"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22,178,677.74 </w:t>
            </w:r>
          </w:p>
        </w:tc>
        <w:tc>
          <w:tcPr>
            <w:tcW w:w="972" w:type="pct"/>
            <w:tcBorders>
              <w:top w:val="single" w:color="auto" w:sz="12" w:space="0"/>
              <w:left w:val="single" w:color="auto" w:sz="4" w:space="0"/>
              <w:bottom w:val="single" w:color="auto" w:sz="12" w:space="0"/>
              <w:right w:val="nil"/>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3,326,801.66 </w:t>
            </w:r>
          </w:p>
        </w:tc>
      </w:tr>
    </w:tbl>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（3）未确认递延所得税资产明细：</w:t>
      </w:r>
    </w:p>
    <w:tbl>
      <w:tblPr>
        <w:tblStyle w:val="9"/>
        <w:tblW w:w="8937" w:type="dxa"/>
        <w:tblCaption w:val="&quot;\\lisheng\共享\1、伟隆2022年度审计\1、2022年度审计\1、附注及报告\2022年\附注计算-伟隆 - 2022.xlsx&quot; &quot;2022附注格式!_ReportTable_0048&quot;"/>
        <w:tblDescription w:val="A375:C377"/>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8"/>
        <w:gridCol w:w="2944"/>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048" w:type="dxa"/>
            <w:tcBorders>
              <w:top w:val="single" w:color="auto" w:sz="12" w:space="0"/>
              <w:left w:val="nil"/>
              <w:bottom w:val="single" w:color="auto" w:sz="12" w:space="0"/>
              <w:right w:val="single" w:color="auto" w:sz="4" w:space="0"/>
            </w:tcBorders>
            <w:vAlign w:val="center"/>
          </w:tcPr>
          <w:p>
            <w:pPr>
              <w:jc w:val="center"/>
              <w:rPr>
                <w:rFonts w:ascii="宋体" w:hAnsi="宋体" w:cs="宋体"/>
                <w:b/>
                <w:color w:val="auto"/>
                <w:kern w:val="0"/>
                <w:sz w:val="18"/>
                <w:szCs w:val="18"/>
              </w:rPr>
            </w:pPr>
            <w:r>
              <w:rPr>
                <w:rFonts w:hint="eastAsia" w:ascii="宋体" w:hAnsi="宋体" w:cs="宋体"/>
                <w:b/>
                <w:color w:val="auto"/>
                <w:kern w:val="0"/>
                <w:sz w:val="18"/>
                <w:szCs w:val="18"/>
              </w:rPr>
              <w:t>项</w:t>
            </w:r>
            <w:r>
              <w:rPr>
                <w:rFonts w:ascii="宋体" w:hAnsi="宋体" w:cs="宋体"/>
                <w:b/>
                <w:color w:val="auto"/>
                <w:kern w:val="0"/>
                <w:sz w:val="18"/>
                <w:szCs w:val="18"/>
              </w:rPr>
              <w:t xml:space="preserve">   目</w:t>
            </w:r>
          </w:p>
        </w:tc>
        <w:tc>
          <w:tcPr>
            <w:tcW w:w="2944"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cs="宋体"/>
                <w:b/>
                <w:color w:val="auto"/>
                <w:kern w:val="0"/>
                <w:sz w:val="18"/>
                <w:szCs w:val="18"/>
              </w:rPr>
            </w:pPr>
            <w:r>
              <w:rPr>
                <w:rFonts w:hint="eastAsia" w:ascii="宋体" w:hAnsi="宋体" w:cs="宋体"/>
                <w:b/>
                <w:color w:val="auto"/>
                <w:kern w:val="0"/>
                <w:sz w:val="18"/>
                <w:szCs w:val="18"/>
              </w:rPr>
              <w:t>期末余额</w:t>
            </w:r>
          </w:p>
        </w:tc>
        <w:tc>
          <w:tcPr>
            <w:tcW w:w="2945" w:type="dxa"/>
            <w:tcBorders>
              <w:top w:val="single" w:color="auto" w:sz="12" w:space="0"/>
              <w:left w:val="single" w:color="auto" w:sz="4" w:space="0"/>
              <w:bottom w:val="single" w:color="auto" w:sz="12" w:space="0"/>
              <w:right w:val="nil"/>
            </w:tcBorders>
            <w:vAlign w:val="center"/>
          </w:tcPr>
          <w:p>
            <w:pPr>
              <w:jc w:val="center"/>
              <w:rPr>
                <w:rFonts w:ascii="宋体" w:hAnsi="宋体" w:cs="宋体"/>
                <w:b/>
                <w:color w:val="auto"/>
                <w:kern w:val="0"/>
                <w:sz w:val="18"/>
                <w:szCs w:val="18"/>
              </w:rPr>
            </w:pPr>
            <w:r>
              <w:rPr>
                <w:rFonts w:hint="eastAsia" w:ascii="宋体" w:hAnsi="宋体" w:cs="宋体"/>
                <w:b/>
                <w:color w:val="auto"/>
                <w:kern w:val="0"/>
                <w:sz w:val="18"/>
                <w:szCs w:val="18"/>
              </w:rPr>
              <w:t>期初余额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8" w:type="dxa"/>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可抵扣暂时性差异</w:t>
            </w:r>
          </w:p>
        </w:tc>
        <w:tc>
          <w:tcPr>
            <w:tcW w:w="2944"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6,414,227.20</w:t>
            </w:r>
          </w:p>
        </w:tc>
        <w:tc>
          <w:tcPr>
            <w:tcW w:w="2945" w:type="dxa"/>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048" w:type="dxa"/>
            <w:tcBorders>
              <w:top w:val="single" w:color="auto" w:sz="4" w:space="0"/>
              <w:left w:val="nil"/>
              <w:bottom w:val="single" w:color="auto" w:sz="4" w:space="0"/>
              <w:right w:val="single" w:color="auto" w:sz="4" w:space="0"/>
            </w:tcBorders>
            <w:vAlign w:val="bottom"/>
          </w:tcPr>
          <w:p>
            <w:pPr>
              <w:rPr>
                <w:rFonts w:ascii="宋体" w:hAnsi="宋体"/>
                <w:color w:val="auto"/>
                <w:kern w:val="0"/>
                <w:sz w:val="18"/>
                <w:szCs w:val="18"/>
              </w:rPr>
            </w:pPr>
            <w:r>
              <w:rPr>
                <w:rFonts w:hint="eastAsia" w:ascii="宋体" w:hAnsi="宋体"/>
                <w:color w:val="auto"/>
                <w:kern w:val="0"/>
                <w:sz w:val="18"/>
                <w:szCs w:val="18"/>
              </w:rPr>
              <w:t>可抵扣亏损</w:t>
            </w:r>
          </w:p>
        </w:tc>
        <w:tc>
          <w:tcPr>
            <w:tcW w:w="2944"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13,674,850.62</w:t>
            </w:r>
          </w:p>
        </w:tc>
        <w:tc>
          <w:tcPr>
            <w:tcW w:w="2945" w:type="dxa"/>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843</w:t>
            </w:r>
            <w:r>
              <w:rPr>
                <w:rFonts w:cs="宋体" w:asciiTheme="minorEastAsia" w:hAnsiTheme="minorEastAsia" w:eastAsiaTheme="minorEastAsia"/>
                <w:color w:val="auto"/>
                <w:sz w:val="18"/>
                <w:szCs w:val="18"/>
              </w:rPr>
              <w:t>,</w:t>
            </w:r>
            <w:r>
              <w:rPr>
                <w:rFonts w:hint="eastAsia" w:cs="宋体" w:asciiTheme="minorEastAsia" w:hAnsiTheme="minorEastAsia" w:eastAsiaTheme="minorEastAsia"/>
                <w:color w:val="auto"/>
                <w:sz w:val="18"/>
                <w:szCs w:val="18"/>
              </w:rPr>
              <w:t>983.71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048" w:type="dxa"/>
            <w:tcBorders>
              <w:top w:val="single" w:color="auto" w:sz="12" w:space="0"/>
              <w:left w:val="nil"/>
              <w:bottom w:val="single" w:color="auto" w:sz="12" w:space="0"/>
              <w:right w:val="single" w:color="auto" w:sz="4" w:space="0"/>
            </w:tcBorders>
            <w:vAlign w:val="bottom"/>
          </w:tcPr>
          <w:p>
            <w:pPr>
              <w:jc w:val="center"/>
              <w:rPr>
                <w:rFonts w:ascii="宋体" w:hAnsi="宋体"/>
                <w:b/>
                <w:color w:val="auto"/>
                <w:kern w:val="0"/>
                <w:sz w:val="18"/>
                <w:szCs w:val="18"/>
              </w:rPr>
            </w:pPr>
            <w:r>
              <w:rPr>
                <w:rFonts w:hint="eastAsia" w:ascii="宋体" w:hAnsi="宋体"/>
                <w:b/>
                <w:color w:val="auto"/>
                <w:kern w:val="0"/>
                <w:sz w:val="18"/>
                <w:szCs w:val="18"/>
              </w:rPr>
              <w:t>合计</w:t>
            </w:r>
          </w:p>
        </w:tc>
        <w:tc>
          <w:tcPr>
            <w:tcW w:w="2944" w:type="dxa"/>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20,089,077.82</w:t>
            </w:r>
          </w:p>
        </w:tc>
        <w:tc>
          <w:tcPr>
            <w:tcW w:w="2945" w:type="dxa"/>
            <w:tcBorders>
              <w:top w:val="single" w:color="auto" w:sz="12" w:space="0"/>
              <w:left w:val="single" w:color="auto" w:sz="4" w:space="0"/>
              <w:bottom w:val="single" w:color="auto" w:sz="12" w:space="0"/>
              <w:right w:val="nil"/>
            </w:tcBorders>
            <w:vAlign w:val="bottom"/>
          </w:tcPr>
          <w:p>
            <w:pPr>
              <w:jc w:val="right"/>
              <w:rPr>
                <w:rFonts w:cs="宋体" w:asciiTheme="minorEastAsia" w:hAnsiTheme="minorEastAsia" w:eastAsiaTheme="minorEastAsia"/>
                <w:b/>
                <w:bCs/>
                <w:color w:val="auto"/>
                <w:sz w:val="18"/>
                <w:szCs w:val="18"/>
              </w:rPr>
            </w:pPr>
            <w:r>
              <w:rPr>
                <w:rFonts w:hint="eastAsia" w:cs="宋体" w:asciiTheme="minorEastAsia" w:hAnsiTheme="minorEastAsia" w:eastAsiaTheme="minorEastAsia"/>
                <w:b/>
                <w:bCs/>
                <w:color w:val="auto"/>
                <w:sz w:val="18"/>
                <w:szCs w:val="18"/>
              </w:rPr>
              <w:t>843</w:t>
            </w:r>
            <w:r>
              <w:rPr>
                <w:rFonts w:cs="宋体" w:asciiTheme="minorEastAsia" w:hAnsiTheme="minorEastAsia" w:eastAsiaTheme="minorEastAsia"/>
                <w:b/>
                <w:bCs/>
                <w:color w:val="auto"/>
                <w:sz w:val="18"/>
                <w:szCs w:val="18"/>
              </w:rPr>
              <w:t>,</w:t>
            </w:r>
            <w:r>
              <w:rPr>
                <w:rFonts w:hint="eastAsia" w:cs="宋体" w:asciiTheme="minorEastAsia" w:hAnsiTheme="minorEastAsia" w:eastAsiaTheme="minorEastAsia"/>
                <w:b/>
                <w:bCs/>
                <w:color w:val="auto"/>
                <w:sz w:val="18"/>
                <w:szCs w:val="18"/>
              </w:rPr>
              <w:t>983.71</w:t>
            </w:r>
          </w:p>
        </w:tc>
      </w:tr>
    </w:tbl>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（4）未确认递延所得税资产的可抵扣亏损将于以下年度到期：</w:t>
      </w:r>
    </w:p>
    <w:tbl>
      <w:tblPr>
        <w:tblStyle w:val="9"/>
        <w:tblW w:w="8880" w:type="dxa"/>
        <w:jc w:val="center"/>
        <w:tblCaption w:val="&quot;\\lisheng\共享\1、伟隆2022年度审计\1、2022年度审计\1、附注及报告\2022年\附注计算-伟隆 - 2022.xlsx&quot; &quot;2022附注格式!_ReportTable_0049&quot;"/>
        <w:tblDescription w:val="A379:C386"/>
        <w:tblLayout w:type="fixed"/>
        <w:tblCellMar>
          <w:top w:w="0" w:type="dxa"/>
          <w:left w:w="108" w:type="dxa"/>
          <w:bottom w:w="0" w:type="dxa"/>
          <w:right w:w="108" w:type="dxa"/>
        </w:tblCellMar>
      </w:tblPr>
      <w:tblGrid>
        <w:gridCol w:w="3121"/>
        <w:gridCol w:w="2879"/>
        <w:gridCol w:w="2880"/>
      </w:tblGrid>
      <w:tr>
        <w:tblPrEx>
          <w:tblCellMar>
            <w:top w:w="0" w:type="dxa"/>
            <w:left w:w="108" w:type="dxa"/>
            <w:bottom w:w="0" w:type="dxa"/>
            <w:right w:w="108" w:type="dxa"/>
          </w:tblCellMar>
        </w:tblPrEx>
        <w:trPr>
          <w:cantSplit/>
          <w:trHeight w:val="454" w:hRule="atLeast"/>
          <w:jc w:val="center"/>
        </w:trPr>
        <w:tc>
          <w:tcPr>
            <w:tcW w:w="3121" w:type="dxa"/>
            <w:tcBorders>
              <w:top w:val="single" w:color="auto" w:sz="12" w:space="0"/>
              <w:left w:val="nil"/>
              <w:bottom w:val="single" w:color="auto" w:sz="12" w:space="0"/>
              <w:right w:val="single" w:color="auto" w:sz="4" w:space="0"/>
            </w:tcBorders>
            <w:vAlign w:val="bottom"/>
          </w:tcPr>
          <w:p>
            <w:pPr>
              <w:spacing w:line="360" w:lineRule="auto"/>
              <w:jc w:val="center"/>
              <w:rPr>
                <w:rFonts w:ascii="宋体"/>
                <w:b/>
                <w:bCs/>
                <w:color w:val="auto"/>
                <w:sz w:val="18"/>
                <w:szCs w:val="18"/>
              </w:rPr>
            </w:pPr>
            <w:r>
              <w:rPr>
                <w:rFonts w:hint="eastAsia" w:ascii="宋体" w:hAnsi="宋体"/>
                <w:b/>
                <w:bCs/>
                <w:color w:val="auto"/>
                <w:sz w:val="18"/>
                <w:szCs w:val="18"/>
              </w:rPr>
              <w:t>年</w:t>
            </w:r>
            <w:r>
              <w:rPr>
                <w:rFonts w:ascii="宋体" w:hAnsi="宋体"/>
                <w:b/>
                <w:bCs/>
                <w:color w:val="auto"/>
                <w:sz w:val="18"/>
                <w:szCs w:val="18"/>
              </w:rPr>
              <w:t xml:space="preserve">  份</w:t>
            </w:r>
          </w:p>
        </w:tc>
        <w:tc>
          <w:tcPr>
            <w:tcW w:w="2879" w:type="dxa"/>
            <w:tcBorders>
              <w:top w:val="single" w:color="auto" w:sz="12" w:space="0"/>
              <w:left w:val="nil"/>
              <w:bottom w:val="single" w:color="auto" w:sz="12" w:space="0"/>
              <w:right w:val="single" w:color="auto" w:sz="4" w:space="0"/>
            </w:tcBorders>
            <w:vAlign w:val="bottom"/>
          </w:tcPr>
          <w:p>
            <w:pPr>
              <w:spacing w:line="360" w:lineRule="auto"/>
              <w:jc w:val="center"/>
              <w:rPr>
                <w:rFonts w:ascii="宋体"/>
                <w:b/>
                <w:color w:val="auto"/>
                <w:sz w:val="18"/>
                <w:szCs w:val="18"/>
              </w:rPr>
            </w:pPr>
            <w:r>
              <w:rPr>
                <w:rFonts w:hint="eastAsia" w:ascii="宋体" w:hAnsi="宋体"/>
                <w:b/>
                <w:color w:val="auto"/>
                <w:sz w:val="18"/>
                <w:szCs w:val="18"/>
              </w:rPr>
              <w:t>期末余额</w:t>
            </w:r>
          </w:p>
        </w:tc>
        <w:tc>
          <w:tcPr>
            <w:tcW w:w="2880" w:type="dxa"/>
            <w:tcBorders>
              <w:top w:val="single" w:color="auto" w:sz="12" w:space="0"/>
              <w:left w:val="single" w:color="auto" w:sz="4" w:space="0"/>
              <w:bottom w:val="single" w:color="auto" w:sz="12" w:space="0"/>
              <w:right w:val="nil"/>
            </w:tcBorders>
            <w:vAlign w:val="bottom"/>
          </w:tcPr>
          <w:p>
            <w:pPr>
              <w:spacing w:line="360" w:lineRule="auto"/>
              <w:jc w:val="center"/>
              <w:rPr>
                <w:rFonts w:ascii="宋体"/>
                <w:b/>
                <w:color w:val="auto"/>
                <w:sz w:val="18"/>
                <w:szCs w:val="18"/>
              </w:rPr>
            </w:pPr>
            <w:r>
              <w:rPr>
                <w:rFonts w:hint="eastAsia" w:ascii="宋体" w:hAnsi="宋体"/>
                <w:b/>
                <w:color w:val="auto"/>
                <w:sz w:val="18"/>
                <w:szCs w:val="18"/>
              </w:rPr>
              <w:t>期初余额</w:t>
            </w:r>
          </w:p>
        </w:tc>
      </w:tr>
      <w:tr>
        <w:tblPrEx>
          <w:tblCellMar>
            <w:top w:w="0" w:type="dxa"/>
            <w:left w:w="108" w:type="dxa"/>
            <w:bottom w:w="0" w:type="dxa"/>
            <w:right w:w="108" w:type="dxa"/>
          </w:tblCellMar>
        </w:tblPrEx>
        <w:trPr>
          <w:cantSplit/>
          <w:trHeight w:val="454" w:hRule="atLeast"/>
          <w:jc w:val="center"/>
        </w:trPr>
        <w:tc>
          <w:tcPr>
            <w:tcW w:w="3121" w:type="dxa"/>
            <w:tcBorders>
              <w:top w:val="single" w:color="auto" w:sz="4" w:space="0"/>
              <w:left w:val="nil"/>
              <w:bottom w:val="single" w:color="auto" w:sz="4" w:space="0"/>
              <w:right w:val="single" w:color="auto" w:sz="4" w:space="0"/>
            </w:tcBorders>
            <w:vAlign w:val="bottom"/>
          </w:tcPr>
          <w:p>
            <w:pPr>
              <w:jc w:val="center"/>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2022年</w:t>
            </w:r>
          </w:p>
        </w:tc>
        <w:tc>
          <w:tcPr>
            <w:tcW w:w="2879" w:type="dxa"/>
            <w:tcBorders>
              <w:top w:val="single" w:color="auto" w:sz="4" w:space="0"/>
              <w:left w:val="nil"/>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2880" w:type="dxa"/>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661,691.64 </w:t>
            </w:r>
          </w:p>
        </w:tc>
      </w:tr>
      <w:tr>
        <w:tblPrEx>
          <w:tblCellMar>
            <w:top w:w="0" w:type="dxa"/>
            <w:left w:w="108" w:type="dxa"/>
            <w:bottom w:w="0" w:type="dxa"/>
            <w:right w:w="108" w:type="dxa"/>
          </w:tblCellMar>
        </w:tblPrEx>
        <w:trPr>
          <w:cantSplit/>
          <w:trHeight w:val="454" w:hRule="atLeast"/>
          <w:jc w:val="center"/>
        </w:trPr>
        <w:tc>
          <w:tcPr>
            <w:tcW w:w="3121" w:type="dxa"/>
            <w:tcBorders>
              <w:top w:val="single" w:color="auto" w:sz="4" w:space="0"/>
              <w:left w:val="nil"/>
              <w:bottom w:val="single" w:color="auto" w:sz="4" w:space="0"/>
              <w:right w:val="single" w:color="auto" w:sz="4" w:space="0"/>
            </w:tcBorders>
            <w:vAlign w:val="bottom"/>
          </w:tcPr>
          <w:p>
            <w:pPr>
              <w:jc w:val="center"/>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2023年</w:t>
            </w:r>
          </w:p>
        </w:tc>
        <w:tc>
          <w:tcPr>
            <w:tcW w:w="2879" w:type="dxa"/>
            <w:tcBorders>
              <w:top w:val="single" w:color="auto" w:sz="4" w:space="0"/>
              <w:left w:val="nil"/>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2880" w:type="dxa"/>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170,764.33 </w:t>
            </w:r>
          </w:p>
        </w:tc>
      </w:tr>
      <w:tr>
        <w:tblPrEx>
          <w:tblCellMar>
            <w:top w:w="0" w:type="dxa"/>
            <w:left w:w="108" w:type="dxa"/>
            <w:bottom w:w="0" w:type="dxa"/>
            <w:right w:w="108" w:type="dxa"/>
          </w:tblCellMar>
        </w:tblPrEx>
        <w:trPr>
          <w:cantSplit/>
          <w:trHeight w:val="454" w:hRule="atLeast"/>
          <w:jc w:val="center"/>
        </w:trPr>
        <w:tc>
          <w:tcPr>
            <w:tcW w:w="3121" w:type="dxa"/>
            <w:tcBorders>
              <w:top w:val="single" w:color="auto" w:sz="4" w:space="0"/>
              <w:left w:val="nil"/>
              <w:bottom w:val="single" w:color="auto" w:sz="4" w:space="0"/>
              <w:right w:val="single" w:color="auto" w:sz="4" w:space="0"/>
            </w:tcBorders>
            <w:vAlign w:val="bottom"/>
          </w:tcPr>
          <w:p>
            <w:pPr>
              <w:jc w:val="center"/>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2024年</w:t>
            </w:r>
          </w:p>
        </w:tc>
        <w:tc>
          <w:tcPr>
            <w:tcW w:w="2879" w:type="dxa"/>
            <w:tcBorders>
              <w:top w:val="single" w:color="auto" w:sz="4" w:space="0"/>
              <w:left w:val="nil"/>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2880" w:type="dxa"/>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3,910.97 </w:t>
            </w:r>
          </w:p>
        </w:tc>
      </w:tr>
      <w:tr>
        <w:tblPrEx>
          <w:tblCellMar>
            <w:top w:w="0" w:type="dxa"/>
            <w:left w:w="108" w:type="dxa"/>
            <w:bottom w:w="0" w:type="dxa"/>
            <w:right w:w="108" w:type="dxa"/>
          </w:tblCellMar>
        </w:tblPrEx>
        <w:trPr>
          <w:cantSplit/>
          <w:trHeight w:val="454" w:hRule="atLeast"/>
          <w:jc w:val="center"/>
        </w:trPr>
        <w:tc>
          <w:tcPr>
            <w:tcW w:w="3121" w:type="dxa"/>
            <w:tcBorders>
              <w:top w:val="single" w:color="auto" w:sz="4" w:space="0"/>
              <w:left w:val="nil"/>
              <w:bottom w:val="single" w:color="auto" w:sz="4" w:space="0"/>
              <w:right w:val="single" w:color="auto" w:sz="4" w:space="0"/>
            </w:tcBorders>
            <w:vAlign w:val="bottom"/>
          </w:tcPr>
          <w:p>
            <w:pPr>
              <w:jc w:val="center"/>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2025年</w:t>
            </w:r>
          </w:p>
        </w:tc>
        <w:tc>
          <w:tcPr>
            <w:tcW w:w="2879" w:type="dxa"/>
            <w:tcBorders>
              <w:top w:val="single" w:color="auto" w:sz="4" w:space="0"/>
              <w:left w:val="nil"/>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2880" w:type="dxa"/>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3,852.43 </w:t>
            </w:r>
          </w:p>
        </w:tc>
      </w:tr>
      <w:tr>
        <w:tblPrEx>
          <w:tblCellMar>
            <w:top w:w="0" w:type="dxa"/>
            <w:left w:w="108" w:type="dxa"/>
            <w:bottom w:w="0" w:type="dxa"/>
            <w:right w:w="108" w:type="dxa"/>
          </w:tblCellMar>
        </w:tblPrEx>
        <w:trPr>
          <w:cantSplit/>
          <w:trHeight w:val="454" w:hRule="atLeast"/>
          <w:jc w:val="center"/>
        </w:trPr>
        <w:tc>
          <w:tcPr>
            <w:tcW w:w="3121" w:type="dxa"/>
            <w:tcBorders>
              <w:top w:val="single" w:color="auto" w:sz="4" w:space="0"/>
              <w:left w:val="nil"/>
              <w:bottom w:val="single" w:color="auto" w:sz="4" w:space="0"/>
              <w:right w:val="single" w:color="auto" w:sz="4" w:space="0"/>
            </w:tcBorders>
            <w:vAlign w:val="bottom"/>
          </w:tcPr>
          <w:p>
            <w:pPr>
              <w:jc w:val="center"/>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2026年</w:t>
            </w:r>
          </w:p>
        </w:tc>
        <w:tc>
          <w:tcPr>
            <w:tcW w:w="2879" w:type="dxa"/>
            <w:tcBorders>
              <w:top w:val="single" w:color="auto" w:sz="4" w:space="0"/>
              <w:left w:val="nil"/>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2880" w:type="dxa"/>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3</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764.34</w:t>
            </w:r>
          </w:p>
        </w:tc>
      </w:tr>
      <w:tr>
        <w:tblPrEx>
          <w:tblCellMar>
            <w:top w:w="0" w:type="dxa"/>
            <w:left w:w="108" w:type="dxa"/>
            <w:bottom w:w="0" w:type="dxa"/>
            <w:right w:w="108" w:type="dxa"/>
          </w:tblCellMar>
        </w:tblPrEx>
        <w:trPr>
          <w:cantSplit/>
          <w:trHeight w:val="454" w:hRule="atLeast"/>
          <w:jc w:val="center"/>
        </w:trPr>
        <w:tc>
          <w:tcPr>
            <w:tcW w:w="3121" w:type="dxa"/>
            <w:tcBorders>
              <w:top w:val="single" w:color="auto" w:sz="4" w:space="0"/>
              <w:left w:val="nil"/>
              <w:bottom w:val="single" w:color="auto" w:sz="4" w:space="0"/>
              <w:right w:val="single" w:color="auto" w:sz="4" w:space="0"/>
            </w:tcBorders>
            <w:vAlign w:val="bottom"/>
          </w:tcPr>
          <w:p>
            <w:pPr>
              <w:jc w:val="center"/>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2027年</w:t>
            </w:r>
          </w:p>
        </w:tc>
        <w:tc>
          <w:tcPr>
            <w:tcW w:w="2879" w:type="dxa"/>
            <w:tcBorders>
              <w:top w:val="single" w:color="auto" w:sz="4" w:space="0"/>
              <w:left w:val="nil"/>
              <w:bottom w:val="single" w:color="auto" w:sz="4" w:space="0"/>
              <w:right w:val="single" w:color="auto" w:sz="4" w:space="0"/>
            </w:tcBorders>
            <w:vAlign w:val="bottom"/>
          </w:tcPr>
          <w:p>
            <w:pPr>
              <w:jc w:val="right"/>
              <w:rPr>
                <w:rFonts w:cs="宋体" w:asciiTheme="majorEastAsia" w:hAnsiTheme="majorEastAsia" w:eastAsiaTheme="majorEastAsia"/>
                <w:color w:val="auto"/>
                <w:sz w:val="18"/>
                <w:szCs w:val="18"/>
              </w:rPr>
            </w:pPr>
            <w:r>
              <w:rPr>
                <w:rFonts w:asciiTheme="majorEastAsia" w:hAnsiTheme="majorEastAsia" w:eastAsiaTheme="majorEastAsia"/>
                <w:color w:val="auto"/>
                <w:sz w:val="18"/>
                <w:szCs w:val="18"/>
              </w:rPr>
              <w:t xml:space="preserve">5,447,704.51 </w:t>
            </w:r>
          </w:p>
        </w:tc>
        <w:tc>
          <w:tcPr>
            <w:tcW w:w="2880" w:type="dxa"/>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p>
        </w:tc>
      </w:tr>
      <w:tr>
        <w:tblPrEx>
          <w:tblCellMar>
            <w:top w:w="0" w:type="dxa"/>
            <w:left w:w="108" w:type="dxa"/>
            <w:bottom w:w="0" w:type="dxa"/>
            <w:right w:w="108" w:type="dxa"/>
          </w:tblCellMar>
        </w:tblPrEx>
        <w:trPr>
          <w:cantSplit/>
          <w:trHeight w:val="454" w:hRule="atLeast"/>
          <w:jc w:val="center"/>
        </w:trPr>
        <w:tc>
          <w:tcPr>
            <w:tcW w:w="3121" w:type="dxa"/>
            <w:tcBorders>
              <w:top w:val="single" w:color="auto" w:sz="4" w:space="0"/>
              <w:left w:val="nil"/>
              <w:bottom w:val="single" w:color="auto" w:sz="4" w:space="0"/>
              <w:right w:val="single" w:color="auto" w:sz="4" w:space="0"/>
            </w:tcBorders>
            <w:vAlign w:val="bottom"/>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w:t>
            </w:r>
            <w:r>
              <w:rPr>
                <w:rFonts w:asciiTheme="minorEastAsia" w:hAnsiTheme="minorEastAsia" w:eastAsiaTheme="minorEastAsia"/>
                <w:color w:val="auto"/>
                <w:sz w:val="18"/>
                <w:szCs w:val="18"/>
              </w:rPr>
              <w:t>028</w:t>
            </w:r>
            <w:r>
              <w:rPr>
                <w:rFonts w:hint="eastAsia" w:asciiTheme="minorEastAsia" w:hAnsiTheme="minorEastAsia" w:eastAsiaTheme="minorEastAsia"/>
                <w:color w:val="auto"/>
                <w:sz w:val="18"/>
                <w:szCs w:val="18"/>
              </w:rPr>
              <w:t>年</w:t>
            </w:r>
          </w:p>
        </w:tc>
        <w:tc>
          <w:tcPr>
            <w:tcW w:w="2879" w:type="dxa"/>
            <w:tcBorders>
              <w:top w:val="single" w:color="auto" w:sz="4" w:space="0"/>
              <w:left w:val="nil"/>
              <w:bottom w:val="single" w:color="auto" w:sz="4" w:space="0"/>
              <w:right w:val="single" w:color="auto" w:sz="4" w:space="0"/>
            </w:tcBorders>
            <w:vAlign w:val="bottom"/>
          </w:tcPr>
          <w:p>
            <w:pPr>
              <w:jc w:val="right"/>
              <w:rPr>
                <w:rFonts w:cs="宋体" w:asciiTheme="majorEastAsia" w:hAnsiTheme="majorEastAsia" w:eastAsiaTheme="majorEastAsia"/>
                <w:color w:val="auto"/>
                <w:sz w:val="18"/>
                <w:szCs w:val="18"/>
              </w:rPr>
            </w:pPr>
            <w:r>
              <w:rPr>
                <w:rFonts w:asciiTheme="majorEastAsia" w:hAnsiTheme="majorEastAsia" w:eastAsiaTheme="majorEastAsia"/>
                <w:color w:val="auto"/>
                <w:sz w:val="18"/>
                <w:szCs w:val="18"/>
              </w:rPr>
              <w:t xml:space="preserve">8,227,146.11 </w:t>
            </w:r>
          </w:p>
        </w:tc>
        <w:tc>
          <w:tcPr>
            <w:tcW w:w="2880" w:type="dxa"/>
            <w:tcBorders>
              <w:top w:val="single" w:color="auto" w:sz="4"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p>
        </w:tc>
      </w:tr>
      <w:tr>
        <w:tblPrEx>
          <w:tblCellMar>
            <w:top w:w="0" w:type="dxa"/>
            <w:left w:w="108" w:type="dxa"/>
            <w:bottom w:w="0" w:type="dxa"/>
            <w:right w:w="108" w:type="dxa"/>
          </w:tblCellMar>
        </w:tblPrEx>
        <w:trPr>
          <w:cantSplit/>
          <w:trHeight w:val="454" w:hRule="atLeast"/>
          <w:jc w:val="center"/>
        </w:trPr>
        <w:tc>
          <w:tcPr>
            <w:tcW w:w="3121" w:type="dxa"/>
            <w:tcBorders>
              <w:top w:val="single" w:color="auto" w:sz="12" w:space="0"/>
              <w:left w:val="nil"/>
              <w:bottom w:val="single" w:color="auto" w:sz="12" w:space="0"/>
              <w:right w:val="single" w:color="auto" w:sz="4" w:space="0"/>
            </w:tcBorders>
            <w:vAlign w:val="bottom"/>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合计</w:t>
            </w:r>
          </w:p>
        </w:tc>
        <w:tc>
          <w:tcPr>
            <w:tcW w:w="2879" w:type="dxa"/>
            <w:tcBorders>
              <w:top w:val="single" w:color="auto" w:sz="12" w:space="0"/>
              <w:left w:val="nil"/>
              <w:bottom w:val="single" w:color="auto" w:sz="12" w:space="0"/>
              <w:right w:val="single" w:color="auto" w:sz="4" w:space="0"/>
            </w:tcBorders>
            <w:vAlign w:val="bottom"/>
          </w:tcPr>
          <w:p>
            <w:pPr>
              <w:jc w:val="right"/>
              <w:rPr>
                <w:rFonts w:cs="宋体" w:asciiTheme="majorEastAsia" w:hAnsiTheme="majorEastAsia" w:eastAsiaTheme="majorEastAsia"/>
                <w:b/>
                <w:bCs/>
                <w:color w:val="auto"/>
                <w:sz w:val="18"/>
                <w:szCs w:val="18"/>
              </w:rPr>
            </w:pPr>
            <w:r>
              <w:rPr>
                <w:rFonts w:asciiTheme="majorEastAsia" w:hAnsiTheme="majorEastAsia" w:eastAsiaTheme="majorEastAsia"/>
                <w:b/>
                <w:color w:val="auto"/>
                <w:sz w:val="18"/>
                <w:szCs w:val="18"/>
              </w:rPr>
              <w:t xml:space="preserve"> 13,674,850.62 </w:t>
            </w:r>
          </w:p>
        </w:tc>
        <w:tc>
          <w:tcPr>
            <w:tcW w:w="2880" w:type="dxa"/>
            <w:tcBorders>
              <w:top w:val="single" w:color="auto" w:sz="12" w:space="0"/>
              <w:left w:val="single" w:color="auto" w:sz="4" w:space="0"/>
              <w:bottom w:val="single" w:color="auto" w:sz="12" w:space="0"/>
              <w:right w:val="nil"/>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843,983.71</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17、</w:t>
      </w:r>
      <w:bookmarkStart w:id="29" w:name="OLE_LINK30"/>
      <w:r>
        <w:rPr>
          <w:rFonts w:hint="eastAsia" w:ascii="宋体" w:hAnsi="宋体" w:eastAsia="宋体"/>
          <w:b/>
          <w:color w:val="auto"/>
          <w:sz w:val="24"/>
          <w:szCs w:val="24"/>
        </w:rPr>
        <w:t>其他非流动资产</w:t>
      </w:r>
      <w:bookmarkEnd w:id="29"/>
    </w:p>
    <w:tbl>
      <w:tblPr>
        <w:tblStyle w:val="9"/>
        <w:tblW w:w="8931" w:type="dxa"/>
        <w:tblCaption w:val="&quot;\\lisheng\共享\1、伟隆2022年度审计\1、2022年度审计\1、附注及报告\2022年\附注计算-伟隆 - 2022.xlsx&quot; &quot;2022附注格式!_ReportTable_0050&quot;"/>
        <w:tblDescription w:val="A388:C390"/>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3119"/>
        <w:gridCol w:w="2906"/>
        <w:gridCol w:w="29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3119" w:type="dxa"/>
            <w:tcBorders>
              <w:top w:val="single" w:color="auto" w:sz="12" w:space="0"/>
              <w:left w:val="nil"/>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项</w:t>
            </w:r>
            <w:r>
              <w:rPr>
                <w:rFonts w:ascii="宋体" w:hAnsi="宋体"/>
                <w:b/>
                <w:color w:val="auto"/>
                <w:sz w:val="18"/>
                <w:szCs w:val="18"/>
              </w:rPr>
              <w:t xml:space="preserve">   目</w:t>
            </w:r>
          </w:p>
        </w:tc>
        <w:tc>
          <w:tcPr>
            <w:tcW w:w="2906"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期末余额</w:t>
            </w:r>
          </w:p>
        </w:tc>
        <w:tc>
          <w:tcPr>
            <w:tcW w:w="2906" w:type="dxa"/>
            <w:tcBorders>
              <w:top w:val="single" w:color="auto" w:sz="12" w:space="0"/>
              <w:left w:val="single" w:color="auto" w:sz="4" w:space="0"/>
              <w:bottom w:val="single" w:color="auto" w:sz="12" w:space="0"/>
              <w:right w:val="nil"/>
            </w:tcBorders>
            <w:vAlign w:val="center"/>
          </w:tcPr>
          <w:p>
            <w:pPr>
              <w:jc w:val="center"/>
              <w:rPr>
                <w:rFonts w:ascii="宋体" w:hAnsi="宋体"/>
                <w:b/>
                <w:color w:val="auto"/>
                <w:sz w:val="18"/>
                <w:szCs w:val="18"/>
              </w:rPr>
            </w:pPr>
            <w:r>
              <w:rPr>
                <w:rFonts w:hint="eastAsia" w:ascii="宋体" w:hAnsi="宋体"/>
                <w:b/>
                <w:color w:val="auto"/>
                <w:sz w:val="18"/>
                <w:szCs w:val="18"/>
              </w:rPr>
              <w:t>期初余额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3119" w:type="dxa"/>
            <w:tcBorders>
              <w:top w:val="single" w:color="auto" w:sz="12" w:space="0"/>
              <w:left w:val="nil"/>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预付软件购置款</w:t>
            </w:r>
          </w:p>
        </w:tc>
        <w:tc>
          <w:tcPr>
            <w:tcW w:w="2906" w:type="dxa"/>
            <w:tcBorders>
              <w:top w:val="single" w:color="auto" w:sz="12"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94,680.00</w:t>
            </w:r>
          </w:p>
        </w:tc>
        <w:tc>
          <w:tcPr>
            <w:tcW w:w="2906" w:type="dxa"/>
            <w:tcBorders>
              <w:top w:val="single" w:color="auto" w:sz="12" w:space="0"/>
              <w:left w:val="single" w:color="auto" w:sz="4" w:space="0"/>
              <w:bottom w:val="single" w:color="auto" w:sz="4" w:space="0"/>
              <w:right w:val="nil"/>
            </w:tcBorders>
            <w:vAlign w:val="bottom"/>
          </w:tcPr>
          <w:p>
            <w:pPr>
              <w:jc w:val="right"/>
              <w:rPr>
                <w:rFonts w:ascii="宋体" w:hAnsi="宋体" w:cs="宋体"/>
                <w:color w:val="auto"/>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3119" w:type="dxa"/>
            <w:tcBorders>
              <w:top w:val="single" w:color="auto" w:sz="4" w:space="0"/>
              <w:left w:val="nil"/>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预付设备款</w:t>
            </w:r>
          </w:p>
        </w:tc>
        <w:tc>
          <w:tcPr>
            <w:tcW w:w="2906"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2906" w:type="dxa"/>
            <w:tcBorders>
              <w:top w:val="single" w:color="auto" w:sz="4" w:space="0"/>
              <w:left w:val="single" w:color="auto" w:sz="4" w:space="0"/>
              <w:bottom w:val="single" w:color="auto" w:sz="4" w:space="0"/>
              <w:right w:val="nil"/>
            </w:tcBorders>
            <w:vAlign w:val="bottom"/>
          </w:tcPr>
          <w:p>
            <w:pPr>
              <w:jc w:val="right"/>
              <w:rPr>
                <w:rFonts w:ascii="宋体" w:hAnsi="宋体" w:cs="宋体"/>
                <w:color w:val="auto"/>
                <w:kern w:val="0"/>
                <w:sz w:val="18"/>
                <w:szCs w:val="18"/>
              </w:rPr>
            </w:pPr>
            <w:r>
              <w:rPr>
                <w:rFonts w:ascii="宋体" w:hAnsi="宋体" w:cs="宋体"/>
                <w:color w:val="auto"/>
                <w:kern w:val="0"/>
                <w:sz w:val="18"/>
                <w:szCs w:val="18"/>
              </w:rPr>
              <w:t>247,500.00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54" w:hRule="atLeast"/>
        </w:trPr>
        <w:tc>
          <w:tcPr>
            <w:tcW w:w="3119" w:type="dxa"/>
            <w:tcBorders>
              <w:top w:val="single" w:color="auto" w:sz="12" w:space="0"/>
              <w:left w:val="nil"/>
              <w:bottom w:val="single" w:color="auto" w:sz="12" w:space="0"/>
              <w:right w:val="single" w:color="auto" w:sz="4" w:space="0"/>
            </w:tcBorders>
            <w:vAlign w:val="bottom"/>
          </w:tcPr>
          <w:p>
            <w:pPr>
              <w:jc w:val="center"/>
              <w:rPr>
                <w:rFonts w:ascii="宋体" w:hAnsi="宋体"/>
                <w:b/>
                <w:color w:val="auto"/>
                <w:sz w:val="18"/>
                <w:szCs w:val="18"/>
              </w:rPr>
            </w:pPr>
            <w:r>
              <w:rPr>
                <w:rFonts w:hint="eastAsia" w:ascii="宋体" w:hAnsi="宋体"/>
                <w:b/>
                <w:color w:val="auto"/>
                <w:sz w:val="18"/>
                <w:szCs w:val="18"/>
              </w:rPr>
              <w:t>合计</w:t>
            </w:r>
          </w:p>
        </w:tc>
        <w:tc>
          <w:tcPr>
            <w:tcW w:w="2906" w:type="dxa"/>
            <w:tcBorders>
              <w:top w:val="single" w:color="auto" w:sz="12"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94,680.00</w:t>
            </w:r>
          </w:p>
        </w:tc>
        <w:tc>
          <w:tcPr>
            <w:tcW w:w="2906" w:type="dxa"/>
            <w:tcBorders>
              <w:top w:val="single" w:color="auto" w:sz="12" w:space="0"/>
              <w:left w:val="single" w:color="auto" w:sz="4" w:space="0"/>
              <w:bottom w:val="single" w:color="auto" w:sz="12" w:space="0"/>
              <w:right w:val="nil"/>
            </w:tcBorders>
            <w:vAlign w:val="bottom"/>
          </w:tcPr>
          <w:p>
            <w:pPr>
              <w:jc w:val="right"/>
              <w:rPr>
                <w:rFonts w:cs="宋体" w:asciiTheme="minorEastAsia" w:hAnsiTheme="minorEastAsia" w:eastAsiaTheme="minorEastAsia"/>
                <w:b/>
                <w:bCs/>
                <w:color w:val="auto"/>
                <w:sz w:val="18"/>
                <w:szCs w:val="18"/>
              </w:rPr>
            </w:pPr>
            <w:r>
              <w:rPr>
                <w:rFonts w:ascii="宋体" w:hAnsi="宋体" w:cs="宋体"/>
                <w:b/>
                <w:bCs/>
                <w:color w:val="auto"/>
                <w:kern w:val="0"/>
                <w:sz w:val="18"/>
                <w:szCs w:val="18"/>
              </w:rPr>
              <w:t xml:space="preserve">247,500.00 </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18、短期借款</w:t>
      </w:r>
    </w:p>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（1）明细项目：</w:t>
      </w:r>
    </w:p>
    <w:tbl>
      <w:tblPr>
        <w:tblStyle w:val="9"/>
        <w:tblW w:w="5000" w:type="pct"/>
        <w:tblCaption w:val="&quot;\\lisheng\共享\1、伟隆2022年度审计\1、2022年度审计\1、附注及报告\2022年\附注计算-伟隆 - 2022.xlsx&quot; &quot;2022附注格式!_ReportTable_0051&quot;"/>
        <w:tblDescription w:val="A393:C397"/>
        <w:tblInd w:w="0" w:type="dxa"/>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283"/>
        <w:gridCol w:w="3284"/>
        <w:gridCol w:w="3286"/>
      </w:tblGrid>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6" w:type="pct"/>
            <w:tcBorders>
              <w:bottom w:val="single" w:color="auto" w:sz="12" w:space="0"/>
            </w:tcBorders>
            <w:vAlign w:val="center"/>
          </w:tcPr>
          <w:p>
            <w:pPr>
              <w:jc w:val="center"/>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项</w:t>
            </w:r>
            <w:r>
              <w:rPr>
                <w:rFonts w:asciiTheme="majorEastAsia" w:hAnsiTheme="majorEastAsia" w:eastAsiaTheme="majorEastAsia"/>
                <w:b/>
                <w:color w:val="auto"/>
                <w:sz w:val="18"/>
                <w:szCs w:val="18"/>
              </w:rPr>
              <w:t xml:space="preserve">  目</w:t>
            </w:r>
          </w:p>
        </w:tc>
        <w:tc>
          <w:tcPr>
            <w:tcW w:w="1666" w:type="pct"/>
            <w:tcBorders>
              <w:bottom w:val="single" w:color="auto" w:sz="12" w:space="0"/>
            </w:tcBorders>
            <w:vAlign w:val="center"/>
          </w:tcPr>
          <w:p>
            <w:pPr>
              <w:jc w:val="center"/>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期末余额</w:t>
            </w:r>
          </w:p>
        </w:tc>
        <w:tc>
          <w:tcPr>
            <w:tcW w:w="1667" w:type="pct"/>
            <w:tcBorders>
              <w:bottom w:val="single" w:color="auto" w:sz="12" w:space="0"/>
            </w:tcBorders>
            <w:vAlign w:val="center"/>
          </w:tcPr>
          <w:p>
            <w:pPr>
              <w:jc w:val="center"/>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期初余额</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6" w:type="pct"/>
            <w:tcBorders>
              <w:top w:val="single" w:color="auto" w:sz="12" w:space="0"/>
              <w:bottom w:val="single" w:color="auto" w:sz="4" w:space="0"/>
            </w:tcBorders>
            <w:vAlign w:val="bottom"/>
          </w:tcPr>
          <w:p>
            <w:pPr>
              <w:jc w:val="lef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信用证融资</w:t>
            </w:r>
          </w:p>
        </w:tc>
        <w:tc>
          <w:tcPr>
            <w:tcW w:w="1666" w:type="pct"/>
            <w:tcBorders>
              <w:top w:val="single" w:color="auto" w:sz="12" w:space="0"/>
              <w:bottom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20,000,000.00</w:t>
            </w:r>
          </w:p>
        </w:tc>
        <w:tc>
          <w:tcPr>
            <w:tcW w:w="1667" w:type="pct"/>
            <w:tcBorders>
              <w:top w:val="single" w:color="auto" w:sz="12" w:space="0"/>
              <w:bottom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31,000,000.00 </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6" w:type="pct"/>
            <w:tcBorders>
              <w:top w:val="single" w:color="auto" w:sz="4" w:space="0"/>
              <w:bottom w:val="single" w:color="auto" w:sz="4" w:space="0"/>
            </w:tcBorders>
            <w:vAlign w:val="bottom"/>
          </w:tcPr>
          <w:p>
            <w:pPr>
              <w:jc w:val="lef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保证借款</w:t>
            </w:r>
          </w:p>
        </w:tc>
        <w:tc>
          <w:tcPr>
            <w:tcW w:w="1666" w:type="pct"/>
            <w:tcBorders>
              <w:top w:val="single" w:color="auto" w:sz="4" w:space="0"/>
              <w:bottom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10,000,000.00</w:t>
            </w:r>
          </w:p>
        </w:tc>
        <w:tc>
          <w:tcPr>
            <w:tcW w:w="1667"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6" w:type="pct"/>
            <w:tcBorders>
              <w:top w:val="single" w:color="auto" w:sz="4" w:space="0"/>
              <w:bottom w:val="single" w:color="auto" w:sz="12" w:space="0"/>
            </w:tcBorders>
            <w:vAlign w:val="bottom"/>
          </w:tcPr>
          <w:p>
            <w:pPr>
              <w:jc w:val="lef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应付利息</w:t>
            </w:r>
          </w:p>
        </w:tc>
        <w:tc>
          <w:tcPr>
            <w:tcW w:w="1666" w:type="pct"/>
            <w:tcBorders>
              <w:top w:val="single" w:color="auto" w:sz="4" w:space="0"/>
              <w:bottom w:val="single" w:color="auto" w:sz="12"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9,166.67</w:t>
            </w:r>
          </w:p>
        </w:tc>
        <w:tc>
          <w:tcPr>
            <w:tcW w:w="1667" w:type="pct"/>
            <w:tcBorders>
              <w:top w:val="single" w:color="auto" w:sz="4" w:space="0"/>
              <w:bottom w:val="single" w:color="auto" w:sz="12" w:space="0"/>
            </w:tcBorders>
            <w:vAlign w:val="bottom"/>
          </w:tcPr>
          <w:p>
            <w:pPr>
              <w:jc w:val="right"/>
              <w:rPr>
                <w:rFonts w:cs="宋体" w:asciiTheme="minorEastAsia" w:hAnsiTheme="minorEastAsia" w:eastAsiaTheme="minorEastAsia"/>
                <w:color w:val="auto"/>
                <w:sz w:val="18"/>
                <w:szCs w:val="18"/>
              </w:rPr>
            </w:pP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6" w:type="pct"/>
            <w:tcBorders>
              <w:top w:val="single" w:color="auto" w:sz="12" w:space="0"/>
              <w:bottom w:val="single" w:color="000000" w:sz="12" w:space="0"/>
            </w:tcBorders>
            <w:vAlign w:val="bottom"/>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合计</w:t>
            </w:r>
          </w:p>
        </w:tc>
        <w:tc>
          <w:tcPr>
            <w:tcW w:w="1666" w:type="pct"/>
            <w:tcBorders>
              <w:top w:val="single" w:color="auto" w:sz="12" w:space="0"/>
              <w:bottom w:val="single" w:color="000000" w:sz="12"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30,009,166.67</w:t>
            </w:r>
          </w:p>
        </w:tc>
        <w:tc>
          <w:tcPr>
            <w:tcW w:w="1667" w:type="pct"/>
            <w:tcBorders>
              <w:top w:val="single" w:color="auto" w:sz="12" w:space="0"/>
              <w:bottom w:val="single" w:color="000000" w:sz="12" w:space="0"/>
            </w:tcBorders>
            <w:vAlign w:val="bottom"/>
          </w:tcPr>
          <w:p>
            <w:pPr>
              <w:jc w:val="right"/>
              <w:rPr>
                <w:rFonts w:cs="宋体" w:asciiTheme="minorEastAsia" w:hAnsiTheme="minorEastAsia" w:eastAsiaTheme="minorEastAsia"/>
                <w:b/>
                <w:bCs/>
                <w:color w:val="auto"/>
                <w:sz w:val="18"/>
                <w:szCs w:val="18"/>
              </w:rPr>
            </w:pPr>
            <w:r>
              <w:rPr>
                <w:rFonts w:ascii="宋体" w:hAnsi="宋体" w:cs="宋体"/>
                <w:b/>
                <w:bCs/>
                <w:color w:val="auto"/>
                <w:kern w:val="0"/>
                <w:sz w:val="18"/>
                <w:szCs w:val="18"/>
              </w:rPr>
              <w:t xml:space="preserve">31,000,000.00 </w:t>
            </w:r>
          </w:p>
        </w:tc>
      </w:tr>
    </w:tbl>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（2）本期无已逾期未偿还的短期借款。</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19、应付票据</w:t>
      </w:r>
    </w:p>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（1）明细项目：</w:t>
      </w:r>
    </w:p>
    <w:tbl>
      <w:tblPr>
        <w:tblStyle w:val="9"/>
        <w:tblW w:w="4914" w:type="pct"/>
        <w:tblCaption w:val="&quot;\\lisheng\共享\1、伟隆2022年度审计\1、2022年度审计\1、附注及报告\2022年\附注计算-伟隆 - 2022.xlsx&quot; &quot;2022附注格式!_ReportTable_0053&quot;"/>
        <w:tblDescription w:val="A409:C411"/>
        <w:tblInd w:w="108" w:type="dxa"/>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384"/>
        <w:gridCol w:w="3151"/>
        <w:gridCol w:w="3149"/>
      </w:tblGrid>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7" w:type="pct"/>
            <w:tcBorders>
              <w:top w:val="single" w:color="000000" w:sz="12" w:space="0"/>
              <w:bottom w:val="single" w:color="auto" w:sz="12" w:space="0"/>
            </w:tcBorders>
            <w:vAlign w:val="center"/>
          </w:tcPr>
          <w:p>
            <w:pPr>
              <w:jc w:val="center"/>
              <w:rPr>
                <w:rFonts w:ascii="宋体" w:hAnsi="宋体"/>
                <w:b/>
                <w:color w:val="auto"/>
                <w:sz w:val="18"/>
                <w:szCs w:val="18"/>
              </w:rPr>
            </w:pPr>
            <w:r>
              <w:rPr>
                <w:rFonts w:hint="eastAsia" w:ascii="宋体" w:hAnsi="宋体"/>
                <w:b/>
                <w:color w:val="auto"/>
                <w:sz w:val="18"/>
                <w:szCs w:val="18"/>
              </w:rPr>
              <w:t>种</w:t>
            </w:r>
            <w:r>
              <w:rPr>
                <w:rFonts w:ascii="宋体" w:hAnsi="宋体"/>
                <w:b/>
                <w:color w:val="auto"/>
                <w:sz w:val="18"/>
                <w:szCs w:val="18"/>
              </w:rPr>
              <w:t xml:space="preserve">  类</w:t>
            </w:r>
          </w:p>
        </w:tc>
        <w:tc>
          <w:tcPr>
            <w:tcW w:w="1627" w:type="pct"/>
            <w:tcBorders>
              <w:top w:val="single" w:color="000000" w:sz="12" w:space="0"/>
              <w:bottom w:val="single" w:color="auto" w:sz="12" w:space="0"/>
            </w:tcBorders>
            <w:vAlign w:val="center"/>
          </w:tcPr>
          <w:p>
            <w:pPr>
              <w:jc w:val="center"/>
              <w:rPr>
                <w:rFonts w:ascii="宋体" w:hAnsi="宋体"/>
                <w:b/>
                <w:color w:val="auto"/>
                <w:sz w:val="18"/>
                <w:szCs w:val="18"/>
              </w:rPr>
            </w:pPr>
            <w:r>
              <w:rPr>
                <w:rFonts w:hint="eastAsia" w:ascii="宋体" w:hAnsi="宋体"/>
                <w:b/>
                <w:color w:val="auto"/>
                <w:sz w:val="18"/>
                <w:szCs w:val="18"/>
              </w:rPr>
              <w:t>期末余额</w:t>
            </w:r>
          </w:p>
        </w:tc>
        <w:tc>
          <w:tcPr>
            <w:tcW w:w="1626" w:type="pct"/>
            <w:tcBorders>
              <w:top w:val="single" w:color="000000" w:sz="12" w:space="0"/>
              <w:bottom w:val="single" w:color="auto" w:sz="12" w:space="0"/>
            </w:tcBorders>
            <w:vAlign w:val="center"/>
          </w:tcPr>
          <w:p>
            <w:pPr>
              <w:jc w:val="center"/>
              <w:rPr>
                <w:rFonts w:ascii="宋体" w:hAnsi="宋体"/>
                <w:b/>
                <w:color w:val="auto"/>
                <w:sz w:val="18"/>
                <w:szCs w:val="18"/>
              </w:rPr>
            </w:pPr>
            <w:r>
              <w:rPr>
                <w:rFonts w:hint="eastAsia" w:ascii="宋体" w:hAnsi="宋体"/>
                <w:b/>
                <w:color w:val="auto"/>
                <w:sz w:val="18"/>
                <w:szCs w:val="18"/>
              </w:rPr>
              <w:t>期初余额</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7" w:type="pct"/>
            <w:tcBorders>
              <w:top w:val="single" w:color="auto" w:sz="12" w:space="0"/>
              <w:bottom w:val="single" w:color="auto" w:sz="4" w:space="0"/>
            </w:tcBorders>
            <w:vAlign w:val="bottom"/>
          </w:tcPr>
          <w:p>
            <w:pPr>
              <w:rPr>
                <w:rFonts w:ascii="宋体"/>
                <w:color w:val="auto"/>
                <w:sz w:val="18"/>
                <w:szCs w:val="18"/>
              </w:rPr>
            </w:pPr>
            <w:r>
              <w:rPr>
                <w:rFonts w:hint="eastAsia" w:ascii="宋体" w:hAnsi="宋体"/>
                <w:bCs/>
                <w:color w:val="auto"/>
                <w:sz w:val="18"/>
                <w:szCs w:val="18"/>
              </w:rPr>
              <w:t>银行承兑汇票</w:t>
            </w:r>
          </w:p>
        </w:tc>
        <w:tc>
          <w:tcPr>
            <w:tcW w:w="1627" w:type="pct"/>
            <w:tcBorders>
              <w:top w:val="single" w:color="auto" w:sz="12" w:space="0"/>
              <w:bottom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42,008,440.99</w:t>
            </w:r>
          </w:p>
        </w:tc>
        <w:tc>
          <w:tcPr>
            <w:tcW w:w="1626" w:type="pct"/>
            <w:tcBorders>
              <w:top w:val="single" w:color="auto" w:sz="12" w:space="0"/>
              <w:bottom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38,786,483.35 </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7" w:type="pct"/>
            <w:tcBorders>
              <w:top w:val="single" w:color="auto" w:sz="12" w:space="0"/>
              <w:bottom w:val="single" w:color="000000" w:sz="12" w:space="0"/>
            </w:tcBorders>
            <w:vAlign w:val="bottom"/>
          </w:tcPr>
          <w:p>
            <w:pPr>
              <w:jc w:val="center"/>
              <w:rPr>
                <w:rFonts w:ascii="宋体"/>
                <w:b/>
                <w:bCs/>
                <w:color w:val="auto"/>
                <w:sz w:val="18"/>
                <w:szCs w:val="18"/>
              </w:rPr>
            </w:pPr>
            <w:r>
              <w:rPr>
                <w:rFonts w:hint="eastAsia" w:ascii="宋体" w:hAnsi="宋体"/>
                <w:b/>
                <w:bCs/>
                <w:color w:val="auto"/>
                <w:sz w:val="18"/>
                <w:szCs w:val="18"/>
              </w:rPr>
              <w:t>合计</w:t>
            </w:r>
          </w:p>
        </w:tc>
        <w:tc>
          <w:tcPr>
            <w:tcW w:w="1627" w:type="pct"/>
            <w:tcBorders>
              <w:top w:val="single" w:color="auto" w:sz="12" w:space="0"/>
              <w:bottom w:val="single" w:color="000000" w:sz="12"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42,008,440.99</w:t>
            </w:r>
          </w:p>
        </w:tc>
        <w:tc>
          <w:tcPr>
            <w:tcW w:w="1626" w:type="pct"/>
            <w:tcBorders>
              <w:top w:val="single" w:color="auto" w:sz="12" w:space="0"/>
              <w:bottom w:val="single" w:color="000000" w:sz="12" w:space="0"/>
            </w:tcBorders>
            <w:vAlign w:val="bottom"/>
          </w:tcPr>
          <w:p>
            <w:pPr>
              <w:jc w:val="right"/>
              <w:rPr>
                <w:rFonts w:cs="宋体" w:asciiTheme="minorEastAsia" w:hAnsiTheme="minorEastAsia" w:eastAsiaTheme="minorEastAsia"/>
                <w:b/>
                <w:bCs/>
                <w:color w:val="auto"/>
                <w:sz w:val="18"/>
                <w:szCs w:val="18"/>
              </w:rPr>
            </w:pPr>
            <w:r>
              <w:rPr>
                <w:rFonts w:ascii="宋体" w:hAnsi="宋体" w:cs="宋体"/>
                <w:b/>
                <w:bCs/>
                <w:color w:val="auto"/>
                <w:kern w:val="0"/>
                <w:sz w:val="18"/>
                <w:szCs w:val="18"/>
              </w:rPr>
              <w:t xml:space="preserve">38,786,483.35 </w:t>
            </w:r>
          </w:p>
        </w:tc>
      </w:tr>
    </w:tbl>
    <w:p>
      <w:pPr>
        <w:spacing w:before="150" w:beforeLines="50" w:line="360" w:lineRule="auto"/>
        <w:ind w:firstLine="420" w:firstLineChars="200"/>
        <w:rPr>
          <w:rFonts w:ascii="宋体" w:hAnsi="宋体"/>
          <w:color w:val="auto"/>
          <w:szCs w:val="21"/>
        </w:rPr>
      </w:pPr>
      <w:r>
        <w:rPr>
          <w:rFonts w:hint="eastAsia" w:ascii="宋体" w:hAnsi="宋体" w:cs="宋体"/>
          <w:color w:val="auto"/>
          <w:kern w:val="0"/>
          <w:szCs w:val="21"/>
        </w:rPr>
        <w:t>（2）</w:t>
      </w:r>
      <w:r>
        <w:rPr>
          <w:rFonts w:hint="eastAsia" w:ascii="宋体" w:hAnsi="宋体"/>
          <w:color w:val="auto"/>
          <w:szCs w:val="21"/>
        </w:rPr>
        <w:t>应付票据期末余额全部将于202</w:t>
      </w:r>
      <w:r>
        <w:rPr>
          <w:rFonts w:ascii="宋体" w:hAnsi="宋体"/>
          <w:color w:val="auto"/>
          <w:szCs w:val="21"/>
        </w:rPr>
        <w:t>3</w:t>
      </w:r>
      <w:r>
        <w:rPr>
          <w:rFonts w:hint="eastAsia" w:ascii="宋体" w:hAnsi="宋体"/>
          <w:color w:val="auto"/>
          <w:szCs w:val="21"/>
        </w:rPr>
        <w:t>年到期。</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20、应付账款</w:t>
      </w:r>
    </w:p>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（1）账龄分析：</w:t>
      </w:r>
    </w:p>
    <w:tbl>
      <w:tblPr>
        <w:tblStyle w:val="9"/>
        <w:tblW w:w="4897" w:type="pct"/>
        <w:tblCaption w:val="&quot;\\lisheng\共享\1、伟隆2022年度审计\1、2022年度审计\1、附注及报告\2022年\附注计算-伟隆 - 2022.xlsx&quot; &quot;2022附注格式!_ReportTable_0054&quot;"/>
        <w:tblDescription w:val="A415:E421"/>
        <w:tblInd w:w="107" w:type="dxa"/>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Layout w:type="autofit"/>
        <w:tblCellMar>
          <w:top w:w="0" w:type="dxa"/>
          <w:left w:w="107" w:type="dxa"/>
          <w:bottom w:w="0" w:type="dxa"/>
          <w:right w:w="107" w:type="dxa"/>
        </w:tblCellMar>
      </w:tblPr>
      <w:tblGrid>
        <w:gridCol w:w="2406"/>
        <w:gridCol w:w="2018"/>
        <w:gridCol w:w="1629"/>
        <w:gridCol w:w="2018"/>
        <w:gridCol w:w="1577"/>
      </w:tblGrid>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PrEx>
        <w:trPr>
          <w:trHeight w:val="454" w:hRule="atLeast"/>
        </w:trPr>
        <w:tc>
          <w:tcPr>
            <w:tcW w:w="1247" w:type="pct"/>
            <w:vMerge w:val="restart"/>
            <w:tcBorders>
              <w:top w:val="single" w:color="000000"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账</w:t>
            </w:r>
            <w:r>
              <w:rPr>
                <w:rFonts w:ascii="宋体" w:hAnsi="宋体"/>
                <w:b/>
                <w:color w:val="auto"/>
                <w:sz w:val="18"/>
                <w:szCs w:val="18"/>
              </w:rPr>
              <w:t>龄</w:t>
            </w:r>
          </w:p>
        </w:tc>
        <w:tc>
          <w:tcPr>
            <w:tcW w:w="1890" w:type="pct"/>
            <w:gridSpan w:val="2"/>
            <w:tcBorders>
              <w:top w:val="single" w:color="000000" w:sz="12" w:space="0"/>
              <w:left w:val="single" w:color="auto" w:sz="4" w:space="0"/>
              <w:bottom w:val="single" w:color="auto" w:sz="4"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期末余额</w:t>
            </w:r>
          </w:p>
        </w:tc>
        <w:tc>
          <w:tcPr>
            <w:tcW w:w="1863" w:type="pct"/>
            <w:gridSpan w:val="2"/>
            <w:tcBorders>
              <w:top w:val="single" w:color="000000" w:sz="12" w:space="0"/>
              <w:left w:val="single" w:color="auto" w:sz="4" w:space="0"/>
              <w:bottom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期初余额</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1247" w:type="pct"/>
            <w:vMerge w:val="continue"/>
            <w:tcBorders>
              <w:bottom w:val="single" w:color="auto" w:sz="4" w:space="0"/>
              <w:right w:val="single" w:color="auto" w:sz="4" w:space="0"/>
            </w:tcBorders>
            <w:vAlign w:val="center"/>
          </w:tcPr>
          <w:p>
            <w:pPr>
              <w:spacing w:line="360" w:lineRule="auto"/>
              <w:jc w:val="center"/>
              <w:rPr>
                <w:rFonts w:ascii="宋体"/>
                <w:color w:val="auto"/>
                <w:sz w:val="18"/>
                <w:szCs w:val="18"/>
              </w:rPr>
            </w:pPr>
          </w:p>
        </w:tc>
        <w:tc>
          <w:tcPr>
            <w:tcW w:w="1046"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金额</w:t>
            </w:r>
          </w:p>
        </w:tc>
        <w:tc>
          <w:tcPr>
            <w:tcW w:w="844"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比例（</w:t>
            </w:r>
            <w:r>
              <w:rPr>
                <w:rFonts w:ascii="宋体" w:hAnsi="宋体"/>
                <w:b/>
                <w:color w:val="auto"/>
                <w:sz w:val="18"/>
                <w:szCs w:val="18"/>
              </w:rPr>
              <w:t>%）</w:t>
            </w:r>
          </w:p>
        </w:tc>
        <w:tc>
          <w:tcPr>
            <w:tcW w:w="1046"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金额</w:t>
            </w:r>
          </w:p>
        </w:tc>
        <w:tc>
          <w:tcPr>
            <w:tcW w:w="817" w:type="pct"/>
            <w:tcBorders>
              <w:top w:val="single" w:color="auto" w:sz="4" w:space="0"/>
              <w:left w:val="single" w:color="auto" w:sz="4" w:space="0"/>
              <w:bottom w:val="single" w:color="auto" w:sz="12" w:space="0"/>
              <w:right w:val="nil"/>
            </w:tcBorders>
            <w:vAlign w:val="center"/>
          </w:tcPr>
          <w:p>
            <w:pPr>
              <w:jc w:val="center"/>
              <w:rPr>
                <w:rFonts w:ascii="宋体" w:hAnsi="宋体"/>
                <w:b/>
                <w:color w:val="auto"/>
                <w:sz w:val="18"/>
                <w:szCs w:val="18"/>
              </w:rPr>
            </w:pPr>
            <w:r>
              <w:rPr>
                <w:rFonts w:hint="eastAsia" w:ascii="宋体" w:hAnsi="宋体"/>
                <w:b/>
                <w:color w:val="auto"/>
                <w:sz w:val="18"/>
                <w:szCs w:val="18"/>
              </w:rPr>
              <w:t>比例（</w:t>
            </w:r>
            <w:r>
              <w:rPr>
                <w:rFonts w:ascii="宋体" w:hAnsi="宋体"/>
                <w:b/>
                <w:color w:val="auto"/>
                <w:sz w:val="18"/>
                <w:szCs w:val="18"/>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PrEx>
        <w:trPr>
          <w:trHeight w:val="454" w:hRule="atLeast"/>
        </w:trPr>
        <w:tc>
          <w:tcPr>
            <w:tcW w:w="1247" w:type="pct"/>
            <w:tcBorders>
              <w:top w:val="single" w:color="auto" w:sz="12" w:space="0"/>
              <w:bottom w:val="single" w:color="auto" w:sz="4" w:space="0"/>
              <w:right w:val="single" w:color="auto" w:sz="4" w:space="0"/>
            </w:tcBorders>
            <w:vAlign w:val="bottom"/>
          </w:tcPr>
          <w:p>
            <w:pPr>
              <w:rPr>
                <w:rFonts w:ascii="宋体"/>
                <w:color w:val="auto"/>
                <w:sz w:val="18"/>
                <w:szCs w:val="18"/>
              </w:rPr>
            </w:pPr>
            <w:r>
              <w:rPr>
                <w:rFonts w:ascii="宋体" w:hAnsi="宋体"/>
                <w:color w:val="auto"/>
                <w:sz w:val="18"/>
                <w:szCs w:val="18"/>
              </w:rPr>
              <w:t>1年以内（含1年）</w:t>
            </w:r>
          </w:p>
        </w:tc>
        <w:tc>
          <w:tcPr>
            <w:tcW w:w="1046" w:type="pct"/>
            <w:tcBorders>
              <w:top w:val="single" w:color="auto" w:sz="12"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56,945,777.37</w:t>
            </w:r>
          </w:p>
        </w:tc>
        <w:tc>
          <w:tcPr>
            <w:tcW w:w="844" w:type="pct"/>
            <w:tcBorders>
              <w:top w:val="single" w:color="auto" w:sz="12"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97.52</w:t>
            </w:r>
          </w:p>
        </w:tc>
        <w:tc>
          <w:tcPr>
            <w:tcW w:w="1046"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56,901,566.04 </w:t>
            </w:r>
          </w:p>
        </w:tc>
        <w:tc>
          <w:tcPr>
            <w:tcW w:w="817" w:type="pct"/>
            <w:tcBorders>
              <w:top w:val="single" w:color="auto" w:sz="12"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98.81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PrEx>
        <w:trPr>
          <w:trHeight w:val="454" w:hRule="atLeast"/>
        </w:trPr>
        <w:tc>
          <w:tcPr>
            <w:tcW w:w="1247" w:type="pct"/>
            <w:tcBorders>
              <w:top w:val="single" w:color="auto" w:sz="4" w:space="0"/>
              <w:bottom w:val="single" w:color="auto" w:sz="4" w:space="0"/>
              <w:right w:val="single" w:color="auto" w:sz="4" w:space="0"/>
            </w:tcBorders>
            <w:vAlign w:val="bottom"/>
          </w:tcPr>
          <w:p>
            <w:pPr>
              <w:rPr>
                <w:rFonts w:ascii="宋体"/>
                <w:color w:val="auto"/>
                <w:sz w:val="18"/>
                <w:szCs w:val="18"/>
              </w:rPr>
            </w:pPr>
            <w:r>
              <w:rPr>
                <w:rFonts w:ascii="宋体" w:hAnsi="宋体"/>
                <w:color w:val="auto"/>
                <w:sz w:val="18"/>
                <w:szCs w:val="18"/>
              </w:rPr>
              <w:t>1至2年（含2年）</w:t>
            </w:r>
          </w:p>
        </w:tc>
        <w:tc>
          <w:tcPr>
            <w:tcW w:w="1046"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1,264,520.15</w:t>
            </w:r>
          </w:p>
        </w:tc>
        <w:tc>
          <w:tcPr>
            <w:tcW w:w="844"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2.17</w:t>
            </w:r>
          </w:p>
        </w:tc>
        <w:tc>
          <w:tcPr>
            <w:tcW w:w="1046"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179,915.56 </w:t>
            </w:r>
          </w:p>
        </w:tc>
        <w:tc>
          <w:tcPr>
            <w:tcW w:w="817"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0.31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1247" w:type="pct"/>
            <w:tcBorders>
              <w:top w:val="single" w:color="auto" w:sz="4" w:space="0"/>
              <w:bottom w:val="single" w:color="auto" w:sz="4" w:space="0"/>
              <w:right w:val="single" w:color="auto" w:sz="4" w:space="0"/>
            </w:tcBorders>
            <w:vAlign w:val="bottom"/>
          </w:tcPr>
          <w:p>
            <w:pPr>
              <w:rPr>
                <w:rFonts w:ascii="宋体"/>
                <w:color w:val="auto"/>
                <w:sz w:val="18"/>
                <w:szCs w:val="18"/>
              </w:rPr>
            </w:pPr>
            <w:r>
              <w:rPr>
                <w:rFonts w:ascii="宋体" w:hAnsi="宋体"/>
                <w:color w:val="auto"/>
                <w:sz w:val="18"/>
                <w:szCs w:val="18"/>
              </w:rPr>
              <w:t>2至3年（含3年）</w:t>
            </w:r>
          </w:p>
        </w:tc>
        <w:tc>
          <w:tcPr>
            <w:tcW w:w="1046"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123,012.27</w:t>
            </w:r>
          </w:p>
        </w:tc>
        <w:tc>
          <w:tcPr>
            <w:tcW w:w="844"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0.21</w:t>
            </w:r>
          </w:p>
        </w:tc>
        <w:tc>
          <w:tcPr>
            <w:tcW w:w="1046"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161,333.56 </w:t>
            </w:r>
          </w:p>
        </w:tc>
        <w:tc>
          <w:tcPr>
            <w:tcW w:w="817"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0.28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1247" w:type="pct"/>
            <w:tcBorders>
              <w:top w:val="single" w:color="auto" w:sz="6" w:space="0"/>
              <w:bottom w:val="single" w:color="000000" w:sz="12" w:space="0"/>
              <w:right w:val="single" w:color="auto" w:sz="4" w:space="0"/>
            </w:tcBorders>
            <w:vAlign w:val="bottom"/>
          </w:tcPr>
          <w:p>
            <w:pPr>
              <w:rPr>
                <w:rFonts w:ascii="宋体"/>
                <w:color w:val="auto"/>
                <w:sz w:val="18"/>
                <w:szCs w:val="18"/>
              </w:rPr>
            </w:pPr>
            <w:r>
              <w:rPr>
                <w:rFonts w:ascii="宋体" w:hAnsi="宋体"/>
                <w:color w:val="auto"/>
                <w:sz w:val="18"/>
                <w:szCs w:val="18"/>
              </w:rPr>
              <w:t>3年以上</w:t>
            </w:r>
          </w:p>
        </w:tc>
        <w:tc>
          <w:tcPr>
            <w:tcW w:w="1046" w:type="pct"/>
            <w:tcBorders>
              <w:top w:val="single" w:color="auto" w:sz="6" w:space="0"/>
              <w:left w:val="single" w:color="auto" w:sz="4" w:space="0"/>
              <w:bottom w:val="single" w:color="000000"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58,655.22</w:t>
            </w:r>
          </w:p>
        </w:tc>
        <w:tc>
          <w:tcPr>
            <w:tcW w:w="844" w:type="pct"/>
            <w:tcBorders>
              <w:top w:val="single" w:color="auto" w:sz="6" w:space="0"/>
              <w:left w:val="single" w:color="auto" w:sz="4" w:space="0"/>
              <w:bottom w:val="single" w:color="000000"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olor w:val="auto"/>
                <w:sz w:val="18"/>
                <w:szCs w:val="18"/>
              </w:rPr>
              <w:t>0.10</w:t>
            </w:r>
          </w:p>
        </w:tc>
        <w:tc>
          <w:tcPr>
            <w:tcW w:w="1046" w:type="pct"/>
            <w:tcBorders>
              <w:top w:val="single" w:color="auto" w:sz="6" w:space="0"/>
              <w:left w:val="single" w:color="auto" w:sz="4" w:space="0"/>
              <w:bottom w:val="single" w:color="000000" w:sz="12" w:space="0"/>
              <w:right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346,874.08 </w:t>
            </w:r>
          </w:p>
        </w:tc>
        <w:tc>
          <w:tcPr>
            <w:tcW w:w="817" w:type="pct"/>
            <w:tcBorders>
              <w:top w:val="single" w:color="auto" w:sz="6" w:space="0"/>
              <w:left w:val="single" w:color="auto" w:sz="4" w:space="0"/>
              <w:bottom w:val="single" w:color="000000" w:sz="12"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0.60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1247" w:type="pct"/>
            <w:tcBorders>
              <w:top w:val="single" w:color="auto" w:sz="12" w:space="0"/>
              <w:bottom w:val="single" w:color="000000" w:sz="12" w:space="0"/>
              <w:right w:val="single" w:color="auto" w:sz="4" w:space="0"/>
            </w:tcBorders>
            <w:vAlign w:val="bottom"/>
          </w:tcPr>
          <w:p>
            <w:pPr>
              <w:jc w:val="center"/>
              <w:rPr>
                <w:rFonts w:ascii="宋体"/>
                <w:b/>
                <w:bCs/>
                <w:color w:val="auto"/>
                <w:sz w:val="18"/>
                <w:szCs w:val="18"/>
              </w:rPr>
            </w:pPr>
            <w:r>
              <w:rPr>
                <w:rFonts w:hint="eastAsia" w:ascii="宋体" w:hAnsi="宋体"/>
                <w:b/>
                <w:bCs/>
                <w:color w:val="auto"/>
                <w:sz w:val="18"/>
                <w:szCs w:val="18"/>
              </w:rPr>
              <w:t>合计</w:t>
            </w:r>
          </w:p>
        </w:tc>
        <w:tc>
          <w:tcPr>
            <w:tcW w:w="1046" w:type="pct"/>
            <w:tcBorders>
              <w:top w:val="single" w:color="auto" w:sz="12" w:space="0"/>
              <w:left w:val="single" w:color="auto" w:sz="4" w:space="0"/>
              <w:bottom w:val="single" w:color="000000" w:sz="12"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b/>
                <w:bCs/>
                <w:color w:val="auto"/>
                <w:sz w:val="18"/>
                <w:szCs w:val="18"/>
              </w:rPr>
              <w:t>58,391,965.01</w:t>
            </w:r>
          </w:p>
        </w:tc>
        <w:tc>
          <w:tcPr>
            <w:tcW w:w="844" w:type="pct"/>
            <w:tcBorders>
              <w:top w:val="single" w:color="auto" w:sz="12" w:space="0"/>
              <w:left w:val="single" w:color="auto" w:sz="4" w:space="0"/>
              <w:bottom w:val="single" w:color="000000" w:sz="12"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b/>
                <w:bCs/>
                <w:color w:val="auto"/>
                <w:sz w:val="18"/>
                <w:szCs w:val="18"/>
              </w:rPr>
              <w:t>100.00</w:t>
            </w:r>
          </w:p>
        </w:tc>
        <w:tc>
          <w:tcPr>
            <w:tcW w:w="1046" w:type="pct"/>
            <w:tcBorders>
              <w:top w:val="single" w:color="auto" w:sz="12" w:space="0"/>
              <w:left w:val="single" w:color="auto" w:sz="4" w:space="0"/>
              <w:bottom w:val="single" w:color="000000"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ascii="宋体" w:hAnsi="宋体" w:cs="宋体"/>
                <w:b/>
                <w:bCs/>
                <w:color w:val="auto"/>
                <w:kern w:val="0"/>
                <w:sz w:val="18"/>
                <w:szCs w:val="18"/>
              </w:rPr>
              <w:t xml:space="preserve">57,589,689.24 </w:t>
            </w:r>
          </w:p>
        </w:tc>
        <w:tc>
          <w:tcPr>
            <w:tcW w:w="817" w:type="pct"/>
            <w:tcBorders>
              <w:top w:val="single" w:color="auto" w:sz="12" w:space="0"/>
              <w:left w:val="single" w:color="auto" w:sz="4" w:space="0"/>
              <w:bottom w:val="single" w:color="000000" w:sz="12" w:space="0"/>
            </w:tcBorders>
            <w:vAlign w:val="bottom"/>
          </w:tcPr>
          <w:p>
            <w:pPr>
              <w:jc w:val="right"/>
              <w:rPr>
                <w:rFonts w:cs="宋体" w:asciiTheme="minorEastAsia" w:hAnsiTheme="minorEastAsia" w:eastAsiaTheme="minorEastAsia"/>
                <w:b/>
                <w:color w:val="auto"/>
                <w:sz w:val="18"/>
                <w:szCs w:val="18"/>
              </w:rPr>
            </w:pPr>
            <w:r>
              <w:rPr>
                <w:rFonts w:ascii="宋体" w:hAnsi="宋体" w:cs="宋体"/>
                <w:b/>
                <w:bCs/>
                <w:color w:val="auto"/>
                <w:kern w:val="0"/>
                <w:sz w:val="18"/>
                <w:szCs w:val="18"/>
              </w:rPr>
              <w:t xml:space="preserve">100.00 </w:t>
            </w:r>
          </w:p>
        </w:tc>
      </w:tr>
    </w:tbl>
    <w:p>
      <w:pPr>
        <w:spacing w:before="150" w:beforeLines="50" w:line="360" w:lineRule="auto"/>
        <w:ind w:firstLine="420" w:firstLineChars="200"/>
        <w:rPr>
          <w:rFonts w:ascii="宋体" w:hAnsi="宋体"/>
          <w:color w:val="auto"/>
          <w:szCs w:val="21"/>
        </w:rPr>
      </w:pPr>
      <w:r>
        <w:rPr>
          <w:rFonts w:hint="eastAsia" w:ascii="宋体" w:hAnsi="宋体" w:cs="宋体"/>
          <w:color w:val="auto"/>
          <w:kern w:val="0"/>
          <w:szCs w:val="21"/>
        </w:rPr>
        <w:t>（2）</w:t>
      </w:r>
      <w:r>
        <w:rPr>
          <w:rFonts w:hint="eastAsia" w:ascii="宋体" w:hAnsi="宋体"/>
          <w:color w:val="auto"/>
          <w:szCs w:val="21"/>
        </w:rPr>
        <w:t>报告期末公司应付账款中无账龄超过</w:t>
      </w:r>
      <w:r>
        <w:rPr>
          <w:rFonts w:ascii="宋体" w:hAnsi="宋体"/>
          <w:color w:val="auto"/>
          <w:szCs w:val="21"/>
        </w:rPr>
        <w:t>1</w:t>
      </w:r>
      <w:r>
        <w:rPr>
          <w:rFonts w:hint="eastAsia" w:ascii="宋体" w:hAnsi="宋体"/>
          <w:color w:val="auto"/>
          <w:szCs w:val="21"/>
        </w:rPr>
        <w:t>年的大额应付账款。</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21、预收款项</w:t>
      </w:r>
    </w:p>
    <w:tbl>
      <w:tblPr>
        <w:tblStyle w:val="9"/>
        <w:tblW w:w="9247" w:type="dxa"/>
        <w:jc w:val="center"/>
        <w:tblCaption w:val="&quot;\\lisheng\共享\1、伟隆2022年度审计\1、2022年度审计\1、附注及报告\2022年\附注计算-伟隆 - 2022.xlsx&quot; &quot;2022附注格式!_ReportTable_0055&quot;"/>
        <w:tblDescription w:val="A423:C425"/>
        <w:tblLayout w:type="fixed"/>
        <w:tblCellMar>
          <w:top w:w="0" w:type="dxa"/>
          <w:left w:w="108" w:type="dxa"/>
          <w:bottom w:w="0" w:type="dxa"/>
          <w:right w:w="108" w:type="dxa"/>
        </w:tblCellMar>
      </w:tblPr>
      <w:tblGrid>
        <w:gridCol w:w="3082"/>
        <w:gridCol w:w="3082"/>
        <w:gridCol w:w="3083"/>
      </w:tblGrid>
      <w:tr>
        <w:tblPrEx>
          <w:tblCellMar>
            <w:top w:w="0" w:type="dxa"/>
            <w:left w:w="108" w:type="dxa"/>
            <w:bottom w:w="0" w:type="dxa"/>
            <w:right w:w="108" w:type="dxa"/>
          </w:tblCellMar>
        </w:tblPrEx>
        <w:trPr>
          <w:trHeight w:val="510" w:hRule="atLeast"/>
          <w:jc w:val="center"/>
        </w:trPr>
        <w:tc>
          <w:tcPr>
            <w:tcW w:w="3082" w:type="dxa"/>
            <w:tcBorders>
              <w:top w:val="single" w:color="auto" w:sz="12" w:space="0"/>
              <w:bottom w:val="single" w:color="auto" w:sz="12" w:space="0"/>
              <w:right w:val="single" w:color="auto" w:sz="4" w:space="0"/>
            </w:tcBorders>
            <w:vAlign w:val="center"/>
          </w:tcPr>
          <w:p>
            <w:pPr>
              <w:jc w:val="center"/>
              <w:rPr>
                <w:b/>
                <w:color w:val="auto"/>
                <w:sz w:val="18"/>
                <w:szCs w:val="18"/>
              </w:rPr>
            </w:pPr>
            <w:r>
              <w:rPr>
                <w:rFonts w:hint="eastAsia"/>
                <w:b/>
                <w:color w:val="auto"/>
                <w:sz w:val="18"/>
                <w:szCs w:val="18"/>
              </w:rPr>
              <w:t>类  别</w:t>
            </w:r>
          </w:p>
        </w:tc>
        <w:tc>
          <w:tcPr>
            <w:tcW w:w="3082"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b/>
                <w:color w:val="auto"/>
                <w:sz w:val="18"/>
                <w:szCs w:val="18"/>
              </w:rPr>
              <w:t>期末余额</w:t>
            </w:r>
          </w:p>
        </w:tc>
        <w:tc>
          <w:tcPr>
            <w:tcW w:w="3083" w:type="dxa"/>
            <w:tcBorders>
              <w:top w:val="single" w:color="auto" w:sz="12" w:space="0"/>
              <w:left w:val="single" w:color="auto" w:sz="4" w:space="0"/>
              <w:bottom w:val="single" w:color="auto" w:sz="12" w:space="0"/>
            </w:tcBorders>
            <w:vAlign w:val="center"/>
          </w:tcPr>
          <w:p>
            <w:pPr>
              <w:jc w:val="center"/>
              <w:rPr>
                <w:b/>
                <w:color w:val="auto"/>
                <w:sz w:val="18"/>
                <w:szCs w:val="18"/>
              </w:rPr>
            </w:pPr>
            <w:r>
              <w:rPr>
                <w:rFonts w:hint="eastAsia"/>
                <w:b/>
                <w:color w:val="auto"/>
                <w:sz w:val="18"/>
                <w:szCs w:val="18"/>
              </w:rPr>
              <w:t>期初余额</w:t>
            </w:r>
          </w:p>
        </w:tc>
      </w:tr>
      <w:tr>
        <w:tblPrEx>
          <w:tblCellMar>
            <w:top w:w="0" w:type="dxa"/>
            <w:left w:w="108" w:type="dxa"/>
            <w:bottom w:w="0" w:type="dxa"/>
            <w:right w:w="108" w:type="dxa"/>
          </w:tblCellMar>
        </w:tblPrEx>
        <w:trPr>
          <w:trHeight w:val="454" w:hRule="atLeast"/>
          <w:jc w:val="center"/>
        </w:trPr>
        <w:tc>
          <w:tcPr>
            <w:tcW w:w="3082" w:type="dxa"/>
            <w:tcBorders>
              <w:top w:val="single" w:color="auto" w:sz="12" w:space="0"/>
              <w:bottom w:val="single" w:color="auto" w:sz="12"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预收股权转让款</w:t>
            </w:r>
          </w:p>
        </w:tc>
        <w:tc>
          <w:tcPr>
            <w:tcW w:w="3082" w:type="dxa"/>
            <w:tcBorders>
              <w:top w:val="single" w:color="auto" w:sz="12"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3083" w:type="dxa"/>
            <w:tcBorders>
              <w:top w:val="single" w:color="auto" w:sz="12" w:space="0"/>
              <w:left w:val="single" w:color="auto" w:sz="4" w:space="0"/>
              <w:bottom w:val="single" w:color="auto" w:sz="12" w:space="0"/>
            </w:tcBorders>
            <w:vAlign w:val="bottom"/>
          </w:tcPr>
          <w:p>
            <w:pPr>
              <w:jc w:val="right"/>
              <w:rPr>
                <w:rFonts w:cs="宋体" w:asciiTheme="majorEastAsia" w:hAnsiTheme="majorEastAsia" w:eastAsiaTheme="majorEastAsia"/>
                <w:color w:val="auto"/>
                <w:sz w:val="18"/>
                <w:szCs w:val="18"/>
              </w:rPr>
            </w:pPr>
            <w:r>
              <w:rPr>
                <w:rFonts w:ascii="宋体" w:hAnsi="宋体" w:cs="宋体"/>
                <w:color w:val="auto"/>
                <w:kern w:val="0"/>
                <w:sz w:val="18"/>
                <w:szCs w:val="18"/>
              </w:rPr>
              <w:t xml:space="preserve">24,500,000.00 </w:t>
            </w:r>
          </w:p>
        </w:tc>
      </w:tr>
      <w:tr>
        <w:tblPrEx>
          <w:tblCellMar>
            <w:top w:w="0" w:type="dxa"/>
            <w:left w:w="108" w:type="dxa"/>
            <w:bottom w:w="0" w:type="dxa"/>
            <w:right w:w="108" w:type="dxa"/>
          </w:tblCellMar>
        </w:tblPrEx>
        <w:trPr>
          <w:trHeight w:val="454" w:hRule="atLeast"/>
          <w:jc w:val="center"/>
        </w:trPr>
        <w:tc>
          <w:tcPr>
            <w:tcW w:w="3082" w:type="dxa"/>
            <w:tcBorders>
              <w:top w:val="single" w:color="auto" w:sz="12" w:space="0"/>
              <w:bottom w:val="single" w:color="auto" w:sz="12" w:space="0"/>
              <w:right w:val="single" w:color="auto" w:sz="4" w:space="0"/>
            </w:tcBorders>
            <w:vAlign w:val="bottom"/>
          </w:tcPr>
          <w:p>
            <w:pPr>
              <w:jc w:val="center"/>
              <w:rPr>
                <w:rFonts w:ascii="宋体" w:hAnsi="宋体"/>
                <w:b/>
                <w:color w:val="auto"/>
                <w:sz w:val="18"/>
                <w:szCs w:val="18"/>
              </w:rPr>
            </w:pPr>
            <w:r>
              <w:rPr>
                <w:rFonts w:hint="eastAsia" w:ascii="宋体" w:hAnsi="宋体"/>
                <w:b/>
                <w:color w:val="auto"/>
                <w:sz w:val="18"/>
                <w:szCs w:val="18"/>
              </w:rPr>
              <w:t>合计</w:t>
            </w:r>
          </w:p>
        </w:tc>
        <w:tc>
          <w:tcPr>
            <w:tcW w:w="3082" w:type="dxa"/>
            <w:tcBorders>
              <w:top w:val="single" w:color="auto" w:sz="12"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p>
        </w:tc>
        <w:tc>
          <w:tcPr>
            <w:tcW w:w="3083" w:type="dxa"/>
            <w:tcBorders>
              <w:top w:val="single" w:color="auto" w:sz="12" w:space="0"/>
              <w:left w:val="single" w:color="auto" w:sz="4" w:space="0"/>
              <w:bottom w:val="single" w:color="auto" w:sz="12" w:space="0"/>
            </w:tcBorders>
            <w:vAlign w:val="bottom"/>
          </w:tcPr>
          <w:p>
            <w:pPr>
              <w:jc w:val="right"/>
              <w:rPr>
                <w:rFonts w:cs="宋体" w:asciiTheme="majorEastAsia" w:hAnsiTheme="majorEastAsia" w:eastAsiaTheme="majorEastAsia"/>
                <w:b/>
                <w:bCs/>
                <w:color w:val="auto"/>
                <w:sz w:val="18"/>
                <w:szCs w:val="18"/>
              </w:rPr>
            </w:pPr>
            <w:r>
              <w:rPr>
                <w:rFonts w:ascii="宋体" w:hAnsi="宋体" w:cs="宋体"/>
                <w:b/>
                <w:bCs/>
                <w:color w:val="auto"/>
                <w:kern w:val="0"/>
                <w:sz w:val="18"/>
                <w:szCs w:val="18"/>
              </w:rPr>
              <w:t xml:space="preserve">24,500,000.00 </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22</w:t>
      </w:r>
      <w:r>
        <w:rPr>
          <w:rFonts w:ascii="宋体" w:hAnsi="宋体" w:eastAsia="宋体"/>
          <w:b/>
          <w:color w:val="auto"/>
          <w:sz w:val="24"/>
          <w:szCs w:val="24"/>
        </w:rPr>
        <w:t>、合同负债</w:t>
      </w:r>
    </w:p>
    <w:p>
      <w:pPr>
        <w:widowControl/>
        <w:spacing w:before="150" w:beforeLines="50" w:after="150" w:afterLines="50" w:line="360" w:lineRule="auto"/>
        <w:ind w:firstLine="420" w:firstLineChars="200"/>
        <w:jc w:val="left"/>
        <w:rPr>
          <w:rFonts w:ascii="宋体" w:hAns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明细项目：</w:t>
      </w:r>
    </w:p>
    <w:tbl>
      <w:tblPr>
        <w:tblStyle w:val="9"/>
        <w:tblW w:w="9247" w:type="dxa"/>
        <w:jc w:val="center"/>
        <w:tblCaption w:val="&quot;\\lisheng\共享\1、伟隆2022年度审计\1、2022年度审计\1、附注及报告\2022年\附注计算-伟隆 - 2022.xlsx&quot; &quot;2022附注格式!_ReportTable_0056&quot;"/>
        <w:tblDescription w:val="A428:C430"/>
        <w:tblLayout w:type="fixed"/>
        <w:tblCellMar>
          <w:top w:w="0" w:type="dxa"/>
          <w:left w:w="108" w:type="dxa"/>
          <w:bottom w:w="0" w:type="dxa"/>
          <w:right w:w="108" w:type="dxa"/>
        </w:tblCellMar>
      </w:tblPr>
      <w:tblGrid>
        <w:gridCol w:w="3082"/>
        <w:gridCol w:w="3082"/>
        <w:gridCol w:w="3083"/>
      </w:tblGrid>
      <w:tr>
        <w:tblPrEx>
          <w:tblCellMar>
            <w:top w:w="0" w:type="dxa"/>
            <w:left w:w="108" w:type="dxa"/>
            <w:bottom w:w="0" w:type="dxa"/>
            <w:right w:w="108" w:type="dxa"/>
          </w:tblCellMar>
        </w:tblPrEx>
        <w:trPr>
          <w:trHeight w:val="510" w:hRule="atLeast"/>
          <w:jc w:val="center"/>
        </w:trPr>
        <w:tc>
          <w:tcPr>
            <w:tcW w:w="3082" w:type="dxa"/>
            <w:tcBorders>
              <w:top w:val="single" w:color="auto" w:sz="12" w:space="0"/>
              <w:bottom w:val="single" w:color="auto" w:sz="12" w:space="0"/>
              <w:right w:val="single" w:color="auto" w:sz="4" w:space="0"/>
            </w:tcBorders>
            <w:vAlign w:val="center"/>
          </w:tcPr>
          <w:p>
            <w:pPr>
              <w:jc w:val="center"/>
              <w:rPr>
                <w:b/>
                <w:color w:val="auto"/>
                <w:sz w:val="18"/>
                <w:szCs w:val="18"/>
              </w:rPr>
            </w:pPr>
            <w:r>
              <w:rPr>
                <w:rFonts w:hint="eastAsia"/>
                <w:b/>
                <w:color w:val="auto"/>
                <w:sz w:val="18"/>
                <w:szCs w:val="18"/>
              </w:rPr>
              <w:t>类  别</w:t>
            </w:r>
          </w:p>
        </w:tc>
        <w:tc>
          <w:tcPr>
            <w:tcW w:w="3082"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b/>
                <w:color w:val="auto"/>
                <w:sz w:val="18"/>
                <w:szCs w:val="18"/>
              </w:rPr>
              <w:t>期末余额</w:t>
            </w:r>
          </w:p>
        </w:tc>
        <w:tc>
          <w:tcPr>
            <w:tcW w:w="3083" w:type="dxa"/>
            <w:tcBorders>
              <w:top w:val="single" w:color="auto" w:sz="12" w:space="0"/>
              <w:left w:val="single" w:color="auto" w:sz="4" w:space="0"/>
              <w:bottom w:val="single" w:color="auto" w:sz="12" w:space="0"/>
            </w:tcBorders>
            <w:vAlign w:val="center"/>
          </w:tcPr>
          <w:p>
            <w:pPr>
              <w:jc w:val="center"/>
              <w:rPr>
                <w:b/>
                <w:color w:val="auto"/>
                <w:sz w:val="18"/>
                <w:szCs w:val="18"/>
              </w:rPr>
            </w:pPr>
            <w:r>
              <w:rPr>
                <w:rFonts w:hint="eastAsia"/>
                <w:b/>
                <w:color w:val="auto"/>
                <w:sz w:val="18"/>
                <w:szCs w:val="18"/>
              </w:rPr>
              <w:t>期初余额</w:t>
            </w:r>
          </w:p>
        </w:tc>
      </w:tr>
      <w:tr>
        <w:tblPrEx>
          <w:tblCellMar>
            <w:top w:w="0" w:type="dxa"/>
            <w:left w:w="108" w:type="dxa"/>
            <w:bottom w:w="0" w:type="dxa"/>
            <w:right w:w="108" w:type="dxa"/>
          </w:tblCellMar>
        </w:tblPrEx>
        <w:trPr>
          <w:trHeight w:val="454" w:hRule="atLeast"/>
          <w:jc w:val="center"/>
        </w:trPr>
        <w:tc>
          <w:tcPr>
            <w:tcW w:w="3082" w:type="dxa"/>
            <w:tcBorders>
              <w:top w:val="single" w:color="auto" w:sz="12" w:space="0"/>
              <w:bottom w:val="single" w:color="auto" w:sz="12"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预收款项</w:t>
            </w:r>
          </w:p>
        </w:tc>
        <w:tc>
          <w:tcPr>
            <w:tcW w:w="3082" w:type="dxa"/>
            <w:tcBorders>
              <w:top w:val="single" w:color="auto" w:sz="12"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17,150,323.08</w:t>
            </w:r>
          </w:p>
        </w:tc>
        <w:tc>
          <w:tcPr>
            <w:tcW w:w="3083" w:type="dxa"/>
            <w:tcBorders>
              <w:top w:val="single" w:color="auto" w:sz="12" w:space="0"/>
              <w:left w:val="single" w:color="auto" w:sz="4" w:space="0"/>
              <w:bottom w:val="single" w:color="auto" w:sz="12" w:space="0"/>
            </w:tcBorders>
            <w:vAlign w:val="bottom"/>
          </w:tcPr>
          <w:p>
            <w:pPr>
              <w:jc w:val="right"/>
              <w:rPr>
                <w:rFonts w:cs="宋体" w:asciiTheme="majorEastAsia" w:hAnsiTheme="majorEastAsia" w:eastAsiaTheme="majorEastAsia"/>
                <w:color w:val="auto"/>
                <w:sz w:val="18"/>
                <w:szCs w:val="18"/>
              </w:rPr>
            </w:pPr>
            <w:r>
              <w:rPr>
                <w:rFonts w:ascii="宋体" w:hAnsi="宋体" w:cs="宋体"/>
                <w:color w:val="auto"/>
                <w:kern w:val="0"/>
                <w:sz w:val="18"/>
                <w:szCs w:val="18"/>
              </w:rPr>
              <w:t xml:space="preserve">16,522,851.95 </w:t>
            </w:r>
          </w:p>
        </w:tc>
      </w:tr>
      <w:tr>
        <w:tblPrEx>
          <w:tblCellMar>
            <w:top w:w="0" w:type="dxa"/>
            <w:left w:w="108" w:type="dxa"/>
            <w:bottom w:w="0" w:type="dxa"/>
            <w:right w:w="108" w:type="dxa"/>
          </w:tblCellMar>
        </w:tblPrEx>
        <w:trPr>
          <w:trHeight w:val="454" w:hRule="atLeast"/>
          <w:jc w:val="center"/>
        </w:trPr>
        <w:tc>
          <w:tcPr>
            <w:tcW w:w="3082" w:type="dxa"/>
            <w:tcBorders>
              <w:top w:val="single" w:color="auto" w:sz="12" w:space="0"/>
              <w:bottom w:val="single" w:color="auto" w:sz="12" w:space="0"/>
              <w:right w:val="single" w:color="auto" w:sz="4" w:space="0"/>
            </w:tcBorders>
            <w:vAlign w:val="bottom"/>
          </w:tcPr>
          <w:p>
            <w:pPr>
              <w:jc w:val="center"/>
              <w:rPr>
                <w:rFonts w:ascii="宋体" w:hAnsi="宋体"/>
                <w:b/>
                <w:color w:val="auto"/>
                <w:sz w:val="18"/>
                <w:szCs w:val="18"/>
              </w:rPr>
            </w:pPr>
            <w:r>
              <w:rPr>
                <w:rFonts w:hint="eastAsia" w:ascii="宋体" w:hAnsi="宋体"/>
                <w:b/>
                <w:color w:val="auto"/>
                <w:sz w:val="18"/>
                <w:szCs w:val="18"/>
              </w:rPr>
              <w:t>合计</w:t>
            </w:r>
          </w:p>
        </w:tc>
        <w:tc>
          <w:tcPr>
            <w:tcW w:w="3082" w:type="dxa"/>
            <w:tcBorders>
              <w:top w:val="single" w:color="auto" w:sz="12"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17,150,323.08</w:t>
            </w:r>
          </w:p>
        </w:tc>
        <w:tc>
          <w:tcPr>
            <w:tcW w:w="3083" w:type="dxa"/>
            <w:tcBorders>
              <w:top w:val="single" w:color="auto" w:sz="12" w:space="0"/>
              <w:left w:val="single" w:color="auto" w:sz="4" w:space="0"/>
              <w:bottom w:val="single" w:color="auto" w:sz="12" w:space="0"/>
            </w:tcBorders>
            <w:vAlign w:val="bottom"/>
          </w:tcPr>
          <w:p>
            <w:pPr>
              <w:jc w:val="right"/>
              <w:rPr>
                <w:rFonts w:cs="宋体" w:asciiTheme="majorEastAsia" w:hAnsiTheme="majorEastAsia" w:eastAsiaTheme="majorEastAsia"/>
                <w:b/>
                <w:bCs/>
                <w:color w:val="auto"/>
                <w:sz w:val="18"/>
                <w:szCs w:val="18"/>
              </w:rPr>
            </w:pPr>
            <w:r>
              <w:rPr>
                <w:rFonts w:ascii="宋体" w:hAnsi="宋体" w:cs="宋体"/>
                <w:b/>
                <w:bCs/>
                <w:color w:val="auto"/>
                <w:kern w:val="0"/>
                <w:sz w:val="18"/>
                <w:szCs w:val="18"/>
              </w:rPr>
              <w:t xml:space="preserve">16,522,851.95 </w:t>
            </w:r>
          </w:p>
        </w:tc>
      </w:tr>
    </w:tbl>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（2）账龄超过</w:t>
      </w:r>
      <w:r>
        <w:rPr>
          <w:rFonts w:ascii="宋体" w:hAnsi="宋体" w:cs="宋体"/>
          <w:color w:val="auto"/>
          <w:kern w:val="0"/>
          <w:szCs w:val="21"/>
        </w:rPr>
        <w:t>1</w:t>
      </w:r>
      <w:r>
        <w:rPr>
          <w:rFonts w:hint="eastAsia" w:ascii="宋体" w:hAnsi="宋体" w:cs="宋体"/>
          <w:color w:val="auto"/>
          <w:kern w:val="0"/>
          <w:szCs w:val="21"/>
        </w:rPr>
        <w:t>年的重要合同负债</w:t>
      </w:r>
    </w:p>
    <w:tbl>
      <w:tblPr>
        <w:tblStyle w:val="9"/>
        <w:tblW w:w="9247" w:type="dxa"/>
        <w:jc w:val="center"/>
        <w:tblCaption w:val="&quot;\\lisheng\共享\1、伟隆2022年度审计\1、2022年度审计\1、附注及报告\2022年\附注计算-伟隆 - 2022.xlsx&quot; &quot;2022附注格式!_ReportTable_0056&quot;"/>
        <w:tblDescription w:val="A428:C430"/>
        <w:tblLayout w:type="fixed"/>
        <w:tblCellMar>
          <w:top w:w="0" w:type="dxa"/>
          <w:left w:w="108" w:type="dxa"/>
          <w:bottom w:w="0" w:type="dxa"/>
          <w:right w:w="108" w:type="dxa"/>
        </w:tblCellMar>
      </w:tblPr>
      <w:tblGrid>
        <w:gridCol w:w="3082"/>
        <w:gridCol w:w="3082"/>
        <w:gridCol w:w="3083"/>
      </w:tblGrid>
      <w:tr>
        <w:tblPrEx>
          <w:tblCellMar>
            <w:top w:w="0" w:type="dxa"/>
            <w:left w:w="108" w:type="dxa"/>
            <w:bottom w:w="0" w:type="dxa"/>
            <w:right w:w="108" w:type="dxa"/>
          </w:tblCellMar>
        </w:tblPrEx>
        <w:trPr>
          <w:trHeight w:val="510" w:hRule="atLeast"/>
          <w:jc w:val="center"/>
        </w:trPr>
        <w:tc>
          <w:tcPr>
            <w:tcW w:w="3082" w:type="dxa"/>
            <w:tcBorders>
              <w:top w:val="single" w:color="auto" w:sz="12" w:space="0"/>
              <w:bottom w:val="single" w:color="auto" w:sz="12" w:space="0"/>
              <w:right w:val="single" w:color="auto" w:sz="4" w:space="0"/>
            </w:tcBorders>
            <w:vAlign w:val="center"/>
          </w:tcPr>
          <w:p>
            <w:pPr>
              <w:jc w:val="center"/>
              <w:rPr>
                <w:b/>
                <w:color w:val="auto"/>
                <w:sz w:val="18"/>
                <w:szCs w:val="18"/>
              </w:rPr>
            </w:pPr>
            <w:r>
              <w:rPr>
                <w:rFonts w:hint="eastAsia"/>
                <w:b/>
                <w:color w:val="auto"/>
                <w:sz w:val="18"/>
                <w:szCs w:val="18"/>
              </w:rPr>
              <w:t>类  别</w:t>
            </w:r>
          </w:p>
        </w:tc>
        <w:tc>
          <w:tcPr>
            <w:tcW w:w="3082" w:type="dxa"/>
            <w:tcBorders>
              <w:top w:val="single" w:color="auto" w:sz="12" w:space="0"/>
              <w:left w:val="single" w:color="auto" w:sz="4" w:space="0"/>
              <w:bottom w:val="single" w:color="auto" w:sz="12" w:space="0"/>
              <w:right w:val="single" w:color="auto" w:sz="4" w:space="0"/>
            </w:tcBorders>
            <w:vAlign w:val="center"/>
          </w:tcPr>
          <w:p>
            <w:pPr>
              <w:jc w:val="center"/>
              <w:rPr>
                <w:b/>
                <w:color w:val="auto"/>
                <w:sz w:val="18"/>
                <w:szCs w:val="18"/>
              </w:rPr>
            </w:pPr>
            <w:r>
              <w:rPr>
                <w:rFonts w:hint="eastAsia"/>
                <w:b/>
                <w:color w:val="auto"/>
                <w:sz w:val="18"/>
                <w:szCs w:val="18"/>
              </w:rPr>
              <w:t>期末余额</w:t>
            </w:r>
          </w:p>
        </w:tc>
        <w:tc>
          <w:tcPr>
            <w:tcW w:w="3083" w:type="dxa"/>
            <w:tcBorders>
              <w:top w:val="single" w:color="auto" w:sz="12" w:space="0"/>
              <w:left w:val="single" w:color="auto" w:sz="4" w:space="0"/>
              <w:bottom w:val="single" w:color="auto" w:sz="12" w:space="0"/>
            </w:tcBorders>
            <w:vAlign w:val="center"/>
          </w:tcPr>
          <w:p>
            <w:pPr>
              <w:jc w:val="center"/>
              <w:rPr>
                <w:b/>
                <w:color w:val="auto"/>
                <w:sz w:val="18"/>
                <w:szCs w:val="18"/>
              </w:rPr>
            </w:pPr>
            <w:r>
              <w:rPr>
                <w:b/>
                <w:color w:val="auto"/>
                <w:sz w:val="18"/>
                <w:szCs w:val="18"/>
              </w:rPr>
              <w:t>未偿还或结转的原因</w:t>
            </w:r>
          </w:p>
        </w:tc>
      </w:tr>
      <w:tr>
        <w:tblPrEx>
          <w:tblCellMar>
            <w:top w:w="0" w:type="dxa"/>
            <w:left w:w="108" w:type="dxa"/>
            <w:bottom w:w="0" w:type="dxa"/>
            <w:right w:w="108" w:type="dxa"/>
          </w:tblCellMar>
        </w:tblPrEx>
        <w:trPr>
          <w:trHeight w:val="454" w:hRule="atLeast"/>
          <w:jc w:val="center"/>
        </w:trPr>
        <w:tc>
          <w:tcPr>
            <w:tcW w:w="3082" w:type="dxa"/>
            <w:tcBorders>
              <w:top w:val="single" w:color="auto" w:sz="12" w:space="0"/>
              <w:bottom w:val="single" w:color="auto" w:sz="12" w:space="0"/>
              <w:right w:val="single" w:color="auto" w:sz="4" w:space="0"/>
            </w:tcBorders>
            <w:vAlign w:val="bottom"/>
          </w:tcPr>
          <w:p>
            <w:pPr>
              <w:rPr>
                <w:rFonts w:ascii="宋体" w:hAnsi="宋体"/>
                <w:color w:val="auto"/>
                <w:sz w:val="18"/>
                <w:szCs w:val="18"/>
              </w:rPr>
            </w:pPr>
            <w:r>
              <w:rPr>
                <w:rFonts w:hint="eastAsia" w:ascii="宋体" w:hAnsi="宋体" w:cs="宋体"/>
                <w:color w:val="auto"/>
                <w:kern w:val="0"/>
                <w:sz w:val="18"/>
                <w:szCs w:val="18"/>
              </w:rPr>
              <w:t>客户</w:t>
            </w:r>
            <w:r>
              <w:rPr>
                <w:rFonts w:ascii="宋体" w:hAnsi="宋体" w:cs="宋体"/>
                <w:color w:val="auto"/>
                <w:kern w:val="0"/>
                <w:sz w:val="18"/>
                <w:szCs w:val="18"/>
              </w:rPr>
              <w:t>一</w:t>
            </w:r>
          </w:p>
        </w:tc>
        <w:tc>
          <w:tcPr>
            <w:tcW w:w="3082" w:type="dxa"/>
            <w:tcBorders>
              <w:top w:val="single" w:color="auto" w:sz="12"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5,717,805.04</w:t>
            </w:r>
          </w:p>
        </w:tc>
        <w:tc>
          <w:tcPr>
            <w:tcW w:w="3083" w:type="dxa"/>
            <w:tcBorders>
              <w:top w:val="single" w:color="auto" w:sz="12" w:space="0"/>
              <w:left w:val="single" w:color="auto" w:sz="4" w:space="0"/>
              <w:bottom w:val="single" w:color="auto" w:sz="12" w:space="0"/>
            </w:tcBorders>
            <w:vAlign w:val="bottom"/>
          </w:tcPr>
          <w:p>
            <w:pPr>
              <w:jc w:val="center"/>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因客户原因已收款未发货</w:t>
            </w:r>
          </w:p>
        </w:tc>
      </w:tr>
      <w:tr>
        <w:tblPrEx>
          <w:tblCellMar>
            <w:top w:w="0" w:type="dxa"/>
            <w:left w:w="108" w:type="dxa"/>
            <w:bottom w:w="0" w:type="dxa"/>
            <w:right w:w="108" w:type="dxa"/>
          </w:tblCellMar>
        </w:tblPrEx>
        <w:trPr>
          <w:trHeight w:val="454" w:hRule="atLeast"/>
          <w:jc w:val="center"/>
        </w:trPr>
        <w:tc>
          <w:tcPr>
            <w:tcW w:w="3082" w:type="dxa"/>
            <w:tcBorders>
              <w:top w:val="single" w:color="auto" w:sz="12" w:space="0"/>
              <w:bottom w:val="single" w:color="auto" w:sz="12" w:space="0"/>
              <w:right w:val="single" w:color="auto" w:sz="4" w:space="0"/>
            </w:tcBorders>
            <w:vAlign w:val="bottom"/>
          </w:tcPr>
          <w:p>
            <w:pPr>
              <w:jc w:val="center"/>
              <w:rPr>
                <w:rFonts w:ascii="宋体" w:hAnsi="宋体"/>
                <w:b/>
                <w:color w:val="auto"/>
                <w:sz w:val="18"/>
                <w:szCs w:val="18"/>
              </w:rPr>
            </w:pPr>
            <w:r>
              <w:rPr>
                <w:rFonts w:hint="eastAsia" w:ascii="宋体" w:hAnsi="宋体"/>
                <w:b/>
                <w:color w:val="auto"/>
                <w:sz w:val="18"/>
                <w:szCs w:val="18"/>
              </w:rPr>
              <w:t>合计</w:t>
            </w:r>
          </w:p>
        </w:tc>
        <w:tc>
          <w:tcPr>
            <w:tcW w:w="3082" w:type="dxa"/>
            <w:tcBorders>
              <w:top w:val="single" w:color="auto" w:sz="12"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5,717,805.04</w:t>
            </w:r>
          </w:p>
        </w:tc>
        <w:tc>
          <w:tcPr>
            <w:tcW w:w="3083" w:type="dxa"/>
            <w:tcBorders>
              <w:top w:val="single" w:color="auto" w:sz="12" w:space="0"/>
              <w:left w:val="single" w:color="auto" w:sz="4" w:space="0"/>
              <w:bottom w:val="single" w:color="auto" w:sz="12" w:space="0"/>
            </w:tcBorders>
            <w:vAlign w:val="bottom"/>
          </w:tcPr>
          <w:p>
            <w:pPr>
              <w:jc w:val="right"/>
              <w:rPr>
                <w:rFonts w:cs="宋体" w:asciiTheme="majorEastAsia" w:hAnsiTheme="majorEastAsia" w:eastAsiaTheme="majorEastAsia"/>
                <w:b/>
                <w:bCs/>
                <w:color w:val="auto"/>
                <w:sz w:val="18"/>
                <w:szCs w:val="18"/>
              </w:rPr>
            </w:pP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23、应付职工薪酬</w:t>
      </w:r>
    </w:p>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（1）应付职工薪酬列示：</w:t>
      </w:r>
    </w:p>
    <w:tbl>
      <w:tblPr>
        <w:tblStyle w:val="9"/>
        <w:tblW w:w="8931" w:type="dxa"/>
        <w:tblCaption w:val="&quot;\\lisheng\共享\1、伟隆2022年度审计\1、2022年度审计\1、附注及报告\2022年\附注计算-伟隆 - 2022.xlsx&quot; &quot;2022附注格式!_ReportTable_0057&quot;"/>
        <w:tblDescription w:val="A435:E440"/>
        <w:tblInd w:w="108" w:type="dxa"/>
        <w:tblLayout w:type="fixed"/>
        <w:tblCellMar>
          <w:top w:w="0" w:type="dxa"/>
          <w:left w:w="108" w:type="dxa"/>
          <w:bottom w:w="0" w:type="dxa"/>
          <w:right w:w="108" w:type="dxa"/>
        </w:tblCellMar>
      </w:tblPr>
      <w:tblGrid>
        <w:gridCol w:w="2835"/>
        <w:gridCol w:w="1524"/>
        <w:gridCol w:w="1524"/>
        <w:gridCol w:w="1524"/>
        <w:gridCol w:w="1524"/>
      </w:tblGrid>
      <w:tr>
        <w:trPr>
          <w:trHeight w:val="454" w:hRule="atLeast"/>
        </w:trPr>
        <w:tc>
          <w:tcPr>
            <w:tcW w:w="2835" w:type="dxa"/>
            <w:tcBorders>
              <w:top w:val="single" w:color="auto" w:sz="12" w:space="0"/>
              <w:left w:val="nil"/>
              <w:bottom w:val="single" w:color="auto" w:sz="12"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项</w:t>
            </w:r>
            <w:r>
              <w:rPr>
                <w:rFonts w:ascii="宋体" w:hAnsi="宋体" w:cs="宋体"/>
                <w:b/>
                <w:bCs/>
                <w:color w:val="auto"/>
                <w:kern w:val="0"/>
                <w:sz w:val="18"/>
                <w:szCs w:val="18"/>
              </w:rPr>
              <w:t xml:space="preserve">   目</w:t>
            </w:r>
          </w:p>
        </w:tc>
        <w:tc>
          <w:tcPr>
            <w:tcW w:w="1524" w:type="dxa"/>
            <w:tcBorders>
              <w:top w:val="single" w:color="auto" w:sz="12"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期初余额</w:t>
            </w:r>
          </w:p>
        </w:tc>
        <w:tc>
          <w:tcPr>
            <w:tcW w:w="1524" w:type="dxa"/>
            <w:tcBorders>
              <w:top w:val="single" w:color="auto" w:sz="12"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本期增加</w:t>
            </w:r>
          </w:p>
        </w:tc>
        <w:tc>
          <w:tcPr>
            <w:tcW w:w="1524" w:type="dxa"/>
            <w:tcBorders>
              <w:top w:val="single" w:color="auto" w:sz="12"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本期减少</w:t>
            </w:r>
          </w:p>
        </w:tc>
        <w:tc>
          <w:tcPr>
            <w:tcW w:w="1524" w:type="dxa"/>
            <w:tcBorders>
              <w:top w:val="single" w:color="auto" w:sz="12" w:space="0"/>
              <w:left w:val="single" w:color="auto" w:sz="4" w:space="0"/>
              <w:bottom w:val="single" w:color="auto" w:sz="12" w:space="0"/>
              <w:right w:val="nil"/>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期末余额</w:t>
            </w:r>
          </w:p>
        </w:tc>
      </w:tr>
      <w:tr>
        <w:tblPrEx>
          <w:tblCellMar>
            <w:top w:w="0" w:type="dxa"/>
            <w:left w:w="108" w:type="dxa"/>
            <w:bottom w:w="0" w:type="dxa"/>
            <w:right w:w="108" w:type="dxa"/>
          </w:tblCellMar>
        </w:tblPrEx>
        <w:trPr>
          <w:trHeight w:val="454" w:hRule="atLeast"/>
        </w:trPr>
        <w:tc>
          <w:tcPr>
            <w:tcW w:w="2835" w:type="dxa"/>
            <w:tcBorders>
              <w:top w:val="nil"/>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一、短期薪酬</w:t>
            </w:r>
          </w:p>
        </w:tc>
        <w:tc>
          <w:tcPr>
            <w:tcW w:w="1524" w:type="dxa"/>
            <w:tcBorders>
              <w:top w:val="nil"/>
              <w:left w:val="single" w:color="auto" w:sz="4" w:space="0"/>
              <w:bottom w:val="single" w:color="auto" w:sz="4" w:space="0"/>
              <w:right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21,462,310.06 </w:t>
            </w:r>
          </w:p>
        </w:tc>
        <w:tc>
          <w:tcPr>
            <w:tcW w:w="1524" w:type="dxa"/>
            <w:tcBorders>
              <w:top w:val="nil"/>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76,433,073.87</w:t>
            </w:r>
          </w:p>
        </w:tc>
        <w:tc>
          <w:tcPr>
            <w:tcW w:w="1524" w:type="dxa"/>
            <w:tcBorders>
              <w:top w:val="nil"/>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71,004,609.66</w:t>
            </w:r>
          </w:p>
        </w:tc>
        <w:tc>
          <w:tcPr>
            <w:tcW w:w="1524" w:type="dxa"/>
            <w:tcBorders>
              <w:top w:val="nil"/>
              <w:left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26,890,774.27</w:t>
            </w:r>
          </w:p>
        </w:tc>
      </w:tr>
      <w:tr>
        <w:trPr>
          <w:trHeight w:val="454" w:hRule="atLeast"/>
        </w:trPr>
        <w:tc>
          <w:tcPr>
            <w:tcW w:w="2835" w:type="dxa"/>
            <w:tcBorders>
              <w:top w:val="single" w:color="auto" w:sz="4" w:space="0"/>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二、离职后福利</w:t>
            </w:r>
            <w:r>
              <w:rPr>
                <w:rFonts w:ascii="宋体" w:hAnsi="宋体" w:cs="宋体"/>
                <w:color w:val="auto"/>
                <w:kern w:val="0"/>
                <w:sz w:val="18"/>
                <w:szCs w:val="18"/>
              </w:rPr>
              <w:t>-设定提存计划</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5,142,711.73</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4,947,140.11</w:t>
            </w:r>
          </w:p>
        </w:tc>
        <w:tc>
          <w:tcPr>
            <w:tcW w:w="1524" w:type="dxa"/>
            <w:tcBorders>
              <w:top w:val="single" w:color="auto" w:sz="4" w:space="0"/>
              <w:left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195,571.62</w:t>
            </w:r>
          </w:p>
        </w:tc>
      </w:tr>
      <w:tr>
        <w:trPr>
          <w:trHeight w:val="454" w:hRule="atLeast"/>
        </w:trPr>
        <w:tc>
          <w:tcPr>
            <w:tcW w:w="2835" w:type="dxa"/>
            <w:tcBorders>
              <w:top w:val="single" w:color="auto" w:sz="4" w:space="0"/>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三、辞退福利</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524" w:type="dxa"/>
            <w:tcBorders>
              <w:top w:val="single" w:color="auto" w:sz="4" w:space="0"/>
              <w:left w:val="single" w:color="auto" w:sz="4" w:space="0"/>
              <w:bottom w:val="single" w:color="auto" w:sz="4" w:space="0"/>
              <w:right w:val="nil"/>
            </w:tcBorders>
            <w:shd w:val="clear" w:color="auto" w:fill="auto"/>
            <w:vAlign w:val="bottom"/>
          </w:tcPr>
          <w:p>
            <w:pPr>
              <w:autoSpaceDE w:val="0"/>
              <w:autoSpaceDN w:val="0"/>
              <w:adjustRightInd w:val="0"/>
              <w:jc w:val="right"/>
              <w:rPr>
                <w:rFonts w:ascii="宋体" w:hAnsi="宋体" w:cs="宋体"/>
                <w:color w:val="auto"/>
                <w:kern w:val="0"/>
                <w:sz w:val="18"/>
                <w:szCs w:val="18"/>
              </w:rPr>
            </w:pPr>
          </w:p>
        </w:tc>
      </w:tr>
      <w:tr>
        <w:trPr>
          <w:trHeight w:val="454" w:hRule="atLeast"/>
        </w:trPr>
        <w:tc>
          <w:tcPr>
            <w:tcW w:w="2835" w:type="dxa"/>
            <w:tcBorders>
              <w:top w:val="single" w:color="auto" w:sz="4" w:space="0"/>
              <w:left w:val="nil"/>
              <w:bottom w:val="single" w:color="auto" w:sz="12"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四、一年内到期的其他福利</w:t>
            </w:r>
          </w:p>
        </w:tc>
        <w:tc>
          <w:tcPr>
            <w:tcW w:w="1524" w:type="dxa"/>
            <w:tcBorders>
              <w:top w:val="single" w:color="auto" w:sz="4" w:space="0"/>
              <w:left w:val="single" w:color="auto" w:sz="4" w:space="0"/>
              <w:bottom w:val="single" w:color="auto" w:sz="12" w:space="0"/>
              <w:right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p>
        </w:tc>
        <w:tc>
          <w:tcPr>
            <w:tcW w:w="1524" w:type="dxa"/>
            <w:tcBorders>
              <w:top w:val="single" w:color="auto" w:sz="4" w:space="0"/>
              <w:left w:val="single" w:color="auto" w:sz="4" w:space="0"/>
              <w:bottom w:val="single" w:color="auto" w:sz="12"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524" w:type="dxa"/>
            <w:tcBorders>
              <w:top w:val="single" w:color="auto" w:sz="4" w:space="0"/>
              <w:left w:val="single" w:color="auto" w:sz="4" w:space="0"/>
              <w:bottom w:val="single" w:color="auto" w:sz="12"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524" w:type="dxa"/>
            <w:tcBorders>
              <w:top w:val="single" w:color="auto" w:sz="4" w:space="0"/>
              <w:left w:val="single" w:color="auto" w:sz="4" w:space="0"/>
              <w:bottom w:val="single" w:color="auto" w:sz="12" w:space="0"/>
              <w:right w:val="nil"/>
            </w:tcBorders>
            <w:shd w:val="clear" w:color="auto" w:fill="auto"/>
            <w:vAlign w:val="bottom"/>
          </w:tcPr>
          <w:p>
            <w:pPr>
              <w:autoSpaceDE w:val="0"/>
              <w:autoSpaceDN w:val="0"/>
              <w:adjustRightInd w:val="0"/>
              <w:jc w:val="right"/>
              <w:rPr>
                <w:rFonts w:ascii="宋体" w:hAnsi="宋体" w:cs="宋体"/>
                <w:color w:val="auto"/>
                <w:kern w:val="0"/>
                <w:sz w:val="18"/>
                <w:szCs w:val="18"/>
              </w:rPr>
            </w:pPr>
          </w:p>
        </w:tc>
      </w:tr>
      <w:tr>
        <w:trPr>
          <w:trHeight w:val="454" w:hRule="atLeast"/>
        </w:trPr>
        <w:tc>
          <w:tcPr>
            <w:tcW w:w="2835" w:type="dxa"/>
            <w:tcBorders>
              <w:top w:val="single" w:color="auto" w:sz="12" w:space="0"/>
              <w:left w:val="nil"/>
              <w:bottom w:val="single" w:color="auto" w:sz="12" w:space="0"/>
              <w:right w:val="single" w:color="auto" w:sz="4" w:space="0"/>
            </w:tcBorders>
            <w:shd w:val="clear" w:color="auto" w:fill="auto"/>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合计</w:t>
            </w:r>
          </w:p>
        </w:tc>
        <w:tc>
          <w:tcPr>
            <w:tcW w:w="1524" w:type="dxa"/>
            <w:tcBorders>
              <w:top w:val="single" w:color="auto" w:sz="12" w:space="0"/>
              <w:left w:val="single" w:color="auto" w:sz="4" w:space="0"/>
              <w:bottom w:val="single" w:color="auto" w:sz="12" w:space="0"/>
              <w:right w:val="single" w:color="auto" w:sz="4" w:space="0"/>
            </w:tcBorders>
            <w:shd w:val="clear" w:color="auto" w:fill="auto"/>
            <w:vAlign w:val="bottom"/>
          </w:tcPr>
          <w:p>
            <w:pPr>
              <w:jc w:val="right"/>
              <w:rPr>
                <w:rFonts w:cs="宋体" w:asciiTheme="minorEastAsia" w:hAnsiTheme="minorEastAsia" w:eastAsiaTheme="minorEastAsia"/>
                <w:b/>
                <w:bCs/>
                <w:color w:val="auto"/>
                <w:sz w:val="18"/>
                <w:szCs w:val="18"/>
              </w:rPr>
            </w:pPr>
            <w:r>
              <w:rPr>
                <w:rFonts w:ascii="宋体" w:hAnsi="宋体" w:cs="宋体"/>
                <w:b/>
                <w:bCs/>
                <w:color w:val="auto"/>
                <w:kern w:val="0"/>
                <w:sz w:val="18"/>
                <w:szCs w:val="18"/>
              </w:rPr>
              <w:t xml:space="preserve">21,462,310.06 </w:t>
            </w:r>
          </w:p>
        </w:tc>
        <w:tc>
          <w:tcPr>
            <w:tcW w:w="1524" w:type="dxa"/>
            <w:tcBorders>
              <w:top w:val="single" w:color="auto" w:sz="12" w:space="0"/>
              <w:left w:val="single" w:color="auto" w:sz="4" w:space="0"/>
              <w:bottom w:val="single" w:color="auto" w:sz="12" w:space="0"/>
              <w:right w:val="single" w:color="auto" w:sz="4" w:space="0"/>
            </w:tcBorders>
            <w:shd w:val="clear" w:color="auto" w:fill="auto"/>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81,575,785.60</w:t>
            </w:r>
          </w:p>
        </w:tc>
        <w:tc>
          <w:tcPr>
            <w:tcW w:w="1524" w:type="dxa"/>
            <w:tcBorders>
              <w:top w:val="single" w:color="auto" w:sz="12" w:space="0"/>
              <w:left w:val="single" w:color="auto" w:sz="4" w:space="0"/>
              <w:bottom w:val="single" w:color="auto" w:sz="12" w:space="0"/>
              <w:right w:val="single" w:color="auto" w:sz="4" w:space="0"/>
            </w:tcBorders>
            <w:shd w:val="clear" w:color="auto" w:fill="auto"/>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75,951,749.77</w:t>
            </w:r>
          </w:p>
        </w:tc>
        <w:tc>
          <w:tcPr>
            <w:tcW w:w="1524" w:type="dxa"/>
            <w:tcBorders>
              <w:top w:val="single" w:color="auto" w:sz="12" w:space="0"/>
              <w:left w:val="single" w:color="auto" w:sz="4" w:space="0"/>
              <w:bottom w:val="single" w:color="auto" w:sz="12" w:space="0"/>
            </w:tcBorders>
            <w:shd w:val="clear" w:color="auto" w:fill="auto"/>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27,086,345.89</w:t>
            </w:r>
          </w:p>
        </w:tc>
      </w:tr>
    </w:tbl>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（2）短期薪酬列示：</w:t>
      </w:r>
    </w:p>
    <w:tbl>
      <w:tblPr>
        <w:tblStyle w:val="9"/>
        <w:tblW w:w="8931" w:type="dxa"/>
        <w:tblCaption w:val="&quot;\\lisheng\共享\1、伟隆2022年度审计\1、2022年度审计\1、附注及报告\2022年\附注计算-伟隆 - 2022.xlsx&quot; &quot;2022附注格式!_ReportTable_0058&quot;"/>
        <w:tblDescription w:val="A442:E456"/>
        <w:tblInd w:w="108" w:type="dxa"/>
        <w:tblLayout w:type="fixed"/>
        <w:tblCellMar>
          <w:top w:w="0" w:type="dxa"/>
          <w:left w:w="108" w:type="dxa"/>
          <w:bottom w:w="0" w:type="dxa"/>
          <w:right w:w="108" w:type="dxa"/>
        </w:tblCellMar>
      </w:tblPr>
      <w:tblGrid>
        <w:gridCol w:w="2835"/>
        <w:gridCol w:w="1524"/>
        <w:gridCol w:w="1524"/>
        <w:gridCol w:w="1524"/>
        <w:gridCol w:w="1524"/>
      </w:tblGrid>
      <w:tr>
        <w:trPr>
          <w:trHeight w:val="454" w:hRule="atLeast"/>
        </w:trPr>
        <w:tc>
          <w:tcPr>
            <w:tcW w:w="2835" w:type="dxa"/>
            <w:tcBorders>
              <w:top w:val="single" w:color="auto" w:sz="12" w:space="0"/>
              <w:left w:val="nil"/>
              <w:bottom w:val="single" w:color="auto" w:sz="12"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项</w:t>
            </w:r>
            <w:r>
              <w:rPr>
                <w:rFonts w:ascii="宋体" w:hAnsi="宋体" w:cs="宋体"/>
                <w:b/>
                <w:bCs/>
                <w:color w:val="auto"/>
                <w:kern w:val="0"/>
                <w:sz w:val="18"/>
                <w:szCs w:val="18"/>
              </w:rPr>
              <w:t xml:space="preserve">   目</w:t>
            </w:r>
          </w:p>
        </w:tc>
        <w:tc>
          <w:tcPr>
            <w:tcW w:w="1524" w:type="dxa"/>
            <w:tcBorders>
              <w:top w:val="single" w:color="auto" w:sz="12"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期初余额</w:t>
            </w:r>
          </w:p>
        </w:tc>
        <w:tc>
          <w:tcPr>
            <w:tcW w:w="1524" w:type="dxa"/>
            <w:tcBorders>
              <w:top w:val="single" w:color="auto" w:sz="12"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本期增加</w:t>
            </w:r>
          </w:p>
        </w:tc>
        <w:tc>
          <w:tcPr>
            <w:tcW w:w="1524" w:type="dxa"/>
            <w:tcBorders>
              <w:top w:val="single" w:color="auto" w:sz="12"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本期减少</w:t>
            </w:r>
          </w:p>
        </w:tc>
        <w:tc>
          <w:tcPr>
            <w:tcW w:w="1524" w:type="dxa"/>
            <w:tcBorders>
              <w:top w:val="single" w:color="auto" w:sz="12" w:space="0"/>
              <w:left w:val="single" w:color="auto" w:sz="4" w:space="0"/>
              <w:bottom w:val="single" w:color="auto" w:sz="12" w:space="0"/>
              <w:right w:val="nil"/>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期末余额</w:t>
            </w:r>
          </w:p>
        </w:tc>
      </w:tr>
      <w:tr>
        <w:tblPrEx>
          <w:tblCellMar>
            <w:top w:w="0" w:type="dxa"/>
            <w:left w:w="108" w:type="dxa"/>
            <w:bottom w:w="0" w:type="dxa"/>
            <w:right w:w="108" w:type="dxa"/>
          </w:tblCellMar>
        </w:tblPrEx>
        <w:trPr>
          <w:trHeight w:val="454" w:hRule="atLeast"/>
        </w:trPr>
        <w:tc>
          <w:tcPr>
            <w:tcW w:w="2835" w:type="dxa"/>
            <w:tcBorders>
              <w:top w:val="nil"/>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一、工资、奖金、津贴和补贴</w:t>
            </w:r>
          </w:p>
        </w:tc>
        <w:tc>
          <w:tcPr>
            <w:tcW w:w="1524" w:type="dxa"/>
            <w:tcBorders>
              <w:top w:val="nil"/>
              <w:left w:val="single" w:color="auto" w:sz="4" w:space="0"/>
              <w:bottom w:val="single" w:color="auto" w:sz="4" w:space="0"/>
              <w:right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8,102,172.48 </w:t>
            </w:r>
          </w:p>
        </w:tc>
        <w:tc>
          <w:tcPr>
            <w:tcW w:w="1524" w:type="dxa"/>
            <w:tcBorders>
              <w:top w:val="nil"/>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67,677,300.88</w:t>
            </w:r>
          </w:p>
        </w:tc>
        <w:tc>
          <w:tcPr>
            <w:tcW w:w="1524" w:type="dxa"/>
            <w:tcBorders>
              <w:top w:val="nil"/>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62,191,859.10</w:t>
            </w:r>
          </w:p>
        </w:tc>
        <w:tc>
          <w:tcPr>
            <w:tcW w:w="1524" w:type="dxa"/>
            <w:tcBorders>
              <w:top w:val="nil"/>
              <w:left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13,587,614.26</w:t>
            </w:r>
          </w:p>
        </w:tc>
      </w:tr>
      <w:tr>
        <w:trPr>
          <w:trHeight w:val="454" w:hRule="atLeast"/>
        </w:trPr>
        <w:tc>
          <w:tcPr>
            <w:tcW w:w="2835" w:type="dxa"/>
            <w:tcBorders>
              <w:top w:val="single" w:color="auto" w:sz="4" w:space="0"/>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二、职工福利费</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2,231,564.82</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2,231,564.82</w:t>
            </w:r>
          </w:p>
        </w:tc>
        <w:tc>
          <w:tcPr>
            <w:tcW w:w="1524" w:type="dxa"/>
            <w:tcBorders>
              <w:top w:val="single" w:color="auto" w:sz="4" w:space="0"/>
              <w:left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r>
      <w:tr>
        <w:trPr>
          <w:trHeight w:val="454" w:hRule="atLeast"/>
        </w:trPr>
        <w:tc>
          <w:tcPr>
            <w:tcW w:w="2835" w:type="dxa"/>
            <w:tcBorders>
              <w:top w:val="single" w:color="auto" w:sz="4" w:space="0"/>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三、社会保险费</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2,769,418.87</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2,763,217.03</w:t>
            </w:r>
          </w:p>
        </w:tc>
        <w:tc>
          <w:tcPr>
            <w:tcW w:w="1524" w:type="dxa"/>
            <w:tcBorders>
              <w:top w:val="single" w:color="auto" w:sz="4" w:space="0"/>
              <w:left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6,201.84</w:t>
            </w:r>
          </w:p>
        </w:tc>
      </w:tr>
      <w:tr>
        <w:trPr>
          <w:trHeight w:val="454" w:hRule="atLeast"/>
        </w:trPr>
        <w:tc>
          <w:tcPr>
            <w:tcW w:w="2835" w:type="dxa"/>
            <w:tcBorders>
              <w:top w:val="single" w:color="auto" w:sz="4" w:space="0"/>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其中：医疗保险费</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2,325,656.54</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2,325,656.54</w:t>
            </w:r>
          </w:p>
        </w:tc>
        <w:tc>
          <w:tcPr>
            <w:tcW w:w="1524" w:type="dxa"/>
            <w:tcBorders>
              <w:top w:val="single" w:color="auto" w:sz="4" w:space="0"/>
              <w:left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r>
      <w:tr>
        <w:tblPrEx>
          <w:tblCellMar>
            <w:top w:w="0" w:type="dxa"/>
            <w:left w:w="108" w:type="dxa"/>
            <w:bottom w:w="0" w:type="dxa"/>
            <w:right w:w="108" w:type="dxa"/>
          </w:tblCellMar>
        </w:tblPrEx>
        <w:trPr>
          <w:trHeight w:val="454" w:hRule="atLeast"/>
        </w:trPr>
        <w:tc>
          <w:tcPr>
            <w:tcW w:w="2835" w:type="dxa"/>
            <w:tcBorders>
              <w:top w:val="single" w:color="auto" w:sz="4" w:space="0"/>
              <w:left w:val="nil"/>
              <w:bottom w:val="single" w:color="auto" w:sz="4" w:space="0"/>
              <w:right w:val="single" w:color="auto" w:sz="4" w:space="0"/>
            </w:tcBorders>
            <w:shd w:val="clear" w:color="auto" w:fill="auto"/>
            <w:vAlign w:val="bottom"/>
          </w:tcPr>
          <w:p>
            <w:pPr>
              <w:widowControl/>
              <w:ind w:firstLine="540" w:firstLineChars="300"/>
              <w:rPr>
                <w:rFonts w:ascii="宋体" w:hAnsi="宋体" w:cs="宋体"/>
                <w:color w:val="auto"/>
                <w:kern w:val="0"/>
                <w:sz w:val="18"/>
                <w:szCs w:val="18"/>
              </w:rPr>
            </w:pPr>
            <w:r>
              <w:rPr>
                <w:rFonts w:hint="eastAsia" w:ascii="宋体" w:hAnsi="宋体" w:cs="宋体"/>
                <w:color w:val="auto"/>
                <w:kern w:val="0"/>
                <w:sz w:val="18"/>
                <w:szCs w:val="18"/>
              </w:rPr>
              <w:t>工伤保险费</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233,754.92</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227,553.08</w:t>
            </w:r>
          </w:p>
        </w:tc>
        <w:tc>
          <w:tcPr>
            <w:tcW w:w="1524" w:type="dxa"/>
            <w:tcBorders>
              <w:top w:val="single" w:color="auto" w:sz="4" w:space="0"/>
              <w:left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6,201.84</w:t>
            </w:r>
          </w:p>
        </w:tc>
      </w:tr>
      <w:tr>
        <w:trPr>
          <w:trHeight w:val="454" w:hRule="atLeast"/>
        </w:trPr>
        <w:tc>
          <w:tcPr>
            <w:tcW w:w="2835" w:type="dxa"/>
            <w:tcBorders>
              <w:top w:val="single" w:color="auto" w:sz="4" w:space="0"/>
              <w:left w:val="nil"/>
              <w:bottom w:val="single" w:color="auto" w:sz="4" w:space="0"/>
              <w:right w:val="single" w:color="auto" w:sz="4" w:space="0"/>
            </w:tcBorders>
            <w:shd w:val="clear" w:color="auto" w:fill="auto"/>
            <w:vAlign w:val="bottom"/>
          </w:tcPr>
          <w:p>
            <w:pPr>
              <w:widowControl/>
              <w:ind w:firstLine="540" w:firstLineChars="300"/>
              <w:rPr>
                <w:rFonts w:ascii="宋体" w:hAnsi="宋体" w:cs="宋体"/>
                <w:color w:val="auto"/>
                <w:kern w:val="0"/>
                <w:sz w:val="18"/>
                <w:szCs w:val="18"/>
              </w:rPr>
            </w:pPr>
            <w:r>
              <w:rPr>
                <w:rFonts w:hint="eastAsia" w:ascii="宋体" w:hAnsi="宋体" w:cs="宋体"/>
                <w:color w:val="auto"/>
                <w:kern w:val="0"/>
                <w:sz w:val="18"/>
                <w:szCs w:val="18"/>
              </w:rPr>
              <w:t>生育保险费</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905.94</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905.94</w:t>
            </w:r>
          </w:p>
        </w:tc>
        <w:tc>
          <w:tcPr>
            <w:tcW w:w="1524" w:type="dxa"/>
            <w:tcBorders>
              <w:top w:val="single" w:color="auto" w:sz="4" w:space="0"/>
              <w:left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r>
      <w:tr>
        <w:tblPrEx>
          <w:tblCellMar>
            <w:top w:w="0" w:type="dxa"/>
            <w:left w:w="108" w:type="dxa"/>
            <w:bottom w:w="0" w:type="dxa"/>
            <w:right w:w="108" w:type="dxa"/>
          </w:tblCellMar>
        </w:tblPrEx>
        <w:trPr>
          <w:trHeight w:val="454" w:hRule="atLeast"/>
        </w:trPr>
        <w:tc>
          <w:tcPr>
            <w:tcW w:w="2835" w:type="dxa"/>
            <w:tcBorders>
              <w:top w:val="single" w:color="auto" w:sz="4" w:space="0"/>
              <w:left w:val="nil"/>
              <w:bottom w:val="single" w:color="auto" w:sz="4" w:space="0"/>
              <w:right w:val="single" w:color="auto" w:sz="4" w:space="0"/>
            </w:tcBorders>
            <w:shd w:val="clear" w:color="auto" w:fill="auto"/>
            <w:vAlign w:val="bottom"/>
          </w:tcPr>
          <w:p>
            <w:pPr>
              <w:widowControl/>
              <w:ind w:firstLine="540" w:firstLineChars="300"/>
              <w:rPr>
                <w:rFonts w:ascii="宋体" w:hAnsi="宋体" w:cs="宋体"/>
                <w:color w:val="auto"/>
                <w:kern w:val="0"/>
                <w:sz w:val="18"/>
                <w:szCs w:val="18"/>
              </w:rPr>
            </w:pPr>
            <w:r>
              <w:rPr>
                <w:rFonts w:hint="eastAsia" w:ascii="宋体" w:hAnsi="宋体" w:cs="宋体"/>
                <w:color w:val="auto"/>
                <w:kern w:val="0"/>
                <w:sz w:val="18"/>
                <w:szCs w:val="18"/>
              </w:rPr>
              <w:t>大额救助和残联基金</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209,101.47</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209,101.47</w:t>
            </w:r>
          </w:p>
        </w:tc>
        <w:tc>
          <w:tcPr>
            <w:tcW w:w="1524" w:type="dxa"/>
            <w:tcBorders>
              <w:top w:val="single" w:color="auto" w:sz="4" w:space="0"/>
              <w:left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r>
      <w:tr>
        <w:trPr>
          <w:trHeight w:val="454" w:hRule="atLeast"/>
        </w:trPr>
        <w:tc>
          <w:tcPr>
            <w:tcW w:w="2835" w:type="dxa"/>
            <w:tcBorders>
              <w:top w:val="single" w:color="auto" w:sz="4" w:space="0"/>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四、住房公积金</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1,794,817.66</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1,794,817.66</w:t>
            </w:r>
          </w:p>
        </w:tc>
        <w:tc>
          <w:tcPr>
            <w:tcW w:w="1524" w:type="dxa"/>
            <w:tcBorders>
              <w:top w:val="single" w:color="auto" w:sz="4" w:space="0"/>
              <w:left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r>
      <w:tr>
        <w:trPr>
          <w:trHeight w:val="454" w:hRule="atLeast"/>
        </w:trPr>
        <w:tc>
          <w:tcPr>
            <w:tcW w:w="2835" w:type="dxa"/>
            <w:tcBorders>
              <w:top w:val="single" w:color="auto" w:sz="4" w:space="0"/>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五、工会经费和职工教育经费</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13,360,137.58</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735,681.64</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798,861.05</w:t>
            </w:r>
          </w:p>
        </w:tc>
        <w:tc>
          <w:tcPr>
            <w:tcW w:w="1524" w:type="dxa"/>
            <w:tcBorders>
              <w:top w:val="single" w:color="auto" w:sz="4" w:space="0"/>
              <w:left w:val="single" w:color="auto" w:sz="4" w:space="0"/>
              <w:bottom w:val="single" w:color="auto" w:sz="4" w:space="0"/>
              <w:right w:val="nil"/>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13,296,958.17</w:t>
            </w:r>
          </w:p>
        </w:tc>
      </w:tr>
      <w:tr>
        <w:trPr>
          <w:trHeight w:val="454" w:hRule="atLeast"/>
        </w:trPr>
        <w:tc>
          <w:tcPr>
            <w:tcW w:w="2835" w:type="dxa"/>
            <w:tcBorders>
              <w:top w:val="single" w:color="auto" w:sz="4" w:space="0"/>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六、补充医疗保险</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1,224,290.00</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1,224,290.00</w:t>
            </w:r>
          </w:p>
        </w:tc>
        <w:tc>
          <w:tcPr>
            <w:tcW w:w="1524" w:type="dxa"/>
            <w:tcBorders>
              <w:top w:val="single" w:color="auto" w:sz="4" w:space="0"/>
              <w:left w:val="single" w:color="auto" w:sz="4" w:space="0"/>
              <w:bottom w:val="single" w:color="auto" w:sz="4" w:space="0"/>
              <w:right w:val="nil"/>
            </w:tcBorders>
            <w:shd w:val="clear" w:color="auto" w:fill="auto"/>
            <w:vAlign w:val="bottom"/>
          </w:tcPr>
          <w:p>
            <w:pPr>
              <w:autoSpaceDE w:val="0"/>
              <w:autoSpaceDN w:val="0"/>
              <w:adjustRightInd w:val="0"/>
              <w:jc w:val="right"/>
              <w:rPr>
                <w:rFonts w:ascii="宋体" w:hAnsi="宋体" w:cs="宋体"/>
                <w:color w:val="auto"/>
                <w:kern w:val="0"/>
                <w:sz w:val="18"/>
                <w:szCs w:val="18"/>
              </w:rPr>
            </w:pPr>
          </w:p>
        </w:tc>
      </w:tr>
      <w:tr>
        <w:trPr>
          <w:trHeight w:val="454" w:hRule="atLeast"/>
        </w:trPr>
        <w:tc>
          <w:tcPr>
            <w:tcW w:w="2835" w:type="dxa"/>
            <w:tcBorders>
              <w:top w:val="single" w:color="auto" w:sz="4" w:space="0"/>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七、短期利润分享计划</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524" w:type="dxa"/>
            <w:tcBorders>
              <w:top w:val="single" w:color="auto" w:sz="4" w:space="0"/>
              <w:left w:val="single" w:color="auto" w:sz="4" w:space="0"/>
              <w:bottom w:val="single" w:color="auto" w:sz="4" w:space="0"/>
              <w:right w:val="nil"/>
            </w:tcBorders>
            <w:shd w:val="clear" w:color="auto" w:fill="auto"/>
            <w:vAlign w:val="bottom"/>
          </w:tcPr>
          <w:p>
            <w:pPr>
              <w:autoSpaceDE w:val="0"/>
              <w:autoSpaceDN w:val="0"/>
              <w:adjustRightInd w:val="0"/>
              <w:jc w:val="right"/>
              <w:rPr>
                <w:rFonts w:ascii="宋体" w:hAnsi="宋体" w:cs="宋体"/>
                <w:color w:val="auto"/>
                <w:kern w:val="0"/>
                <w:sz w:val="18"/>
                <w:szCs w:val="18"/>
              </w:rPr>
            </w:pPr>
          </w:p>
        </w:tc>
      </w:tr>
      <w:tr>
        <w:trPr>
          <w:trHeight w:val="454" w:hRule="atLeast"/>
        </w:trPr>
        <w:tc>
          <w:tcPr>
            <w:tcW w:w="2835" w:type="dxa"/>
            <w:tcBorders>
              <w:top w:val="single" w:color="auto" w:sz="4" w:space="0"/>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八、辞退福利</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524" w:type="dxa"/>
            <w:tcBorders>
              <w:top w:val="single" w:color="auto" w:sz="4" w:space="0"/>
              <w:left w:val="single" w:color="auto" w:sz="4" w:space="0"/>
              <w:bottom w:val="single" w:color="auto" w:sz="4" w:space="0"/>
              <w:right w:val="nil"/>
            </w:tcBorders>
            <w:shd w:val="clear" w:color="auto" w:fill="auto"/>
            <w:vAlign w:val="bottom"/>
          </w:tcPr>
          <w:p>
            <w:pPr>
              <w:autoSpaceDE w:val="0"/>
              <w:autoSpaceDN w:val="0"/>
              <w:adjustRightInd w:val="0"/>
              <w:jc w:val="right"/>
              <w:rPr>
                <w:rFonts w:ascii="宋体" w:hAnsi="宋体" w:cs="宋体"/>
                <w:color w:val="auto"/>
                <w:kern w:val="0"/>
                <w:sz w:val="18"/>
                <w:szCs w:val="18"/>
              </w:rPr>
            </w:pPr>
          </w:p>
        </w:tc>
      </w:tr>
      <w:tr>
        <w:trPr>
          <w:trHeight w:val="454" w:hRule="atLeast"/>
        </w:trPr>
        <w:tc>
          <w:tcPr>
            <w:tcW w:w="2835" w:type="dxa"/>
            <w:tcBorders>
              <w:top w:val="single" w:color="auto" w:sz="4" w:space="0"/>
              <w:left w:val="nil"/>
              <w:bottom w:val="single" w:color="auto" w:sz="12"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九、其他短期薪酬</w:t>
            </w:r>
          </w:p>
        </w:tc>
        <w:tc>
          <w:tcPr>
            <w:tcW w:w="1524" w:type="dxa"/>
            <w:tcBorders>
              <w:top w:val="single" w:color="auto" w:sz="4" w:space="0"/>
              <w:left w:val="single" w:color="auto" w:sz="4" w:space="0"/>
              <w:bottom w:val="single" w:color="auto" w:sz="12" w:space="0"/>
              <w:right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p>
        </w:tc>
        <w:tc>
          <w:tcPr>
            <w:tcW w:w="1524" w:type="dxa"/>
            <w:tcBorders>
              <w:top w:val="single" w:color="auto" w:sz="4" w:space="0"/>
              <w:left w:val="single" w:color="auto" w:sz="4" w:space="0"/>
              <w:bottom w:val="single" w:color="auto" w:sz="12"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524" w:type="dxa"/>
            <w:tcBorders>
              <w:top w:val="single" w:color="auto" w:sz="4" w:space="0"/>
              <w:left w:val="single" w:color="auto" w:sz="4" w:space="0"/>
              <w:bottom w:val="single" w:color="auto" w:sz="12"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524" w:type="dxa"/>
            <w:tcBorders>
              <w:top w:val="single" w:color="auto" w:sz="4" w:space="0"/>
              <w:left w:val="single" w:color="auto" w:sz="4" w:space="0"/>
              <w:bottom w:val="single" w:color="auto" w:sz="12" w:space="0"/>
              <w:right w:val="nil"/>
            </w:tcBorders>
            <w:shd w:val="clear" w:color="auto" w:fill="auto"/>
            <w:vAlign w:val="bottom"/>
          </w:tcPr>
          <w:p>
            <w:pPr>
              <w:autoSpaceDE w:val="0"/>
              <w:autoSpaceDN w:val="0"/>
              <w:adjustRightInd w:val="0"/>
              <w:jc w:val="right"/>
              <w:rPr>
                <w:rFonts w:ascii="宋体" w:hAnsi="宋体" w:cs="宋体"/>
                <w:color w:val="auto"/>
                <w:kern w:val="0"/>
                <w:sz w:val="18"/>
                <w:szCs w:val="18"/>
              </w:rPr>
            </w:pPr>
          </w:p>
        </w:tc>
      </w:tr>
      <w:tr>
        <w:trPr>
          <w:trHeight w:val="454" w:hRule="atLeast"/>
        </w:trPr>
        <w:tc>
          <w:tcPr>
            <w:tcW w:w="2835" w:type="dxa"/>
            <w:tcBorders>
              <w:top w:val="single" w:color="auto" w:sz="12" w:space="0"/>
              <w:left w:val="nil"/>
              <w:bottom w:val="single" w:color="auto" w:sz="12" w:space="0"/>
              <w:right w:val="single" w:color="auto" w:sz="4" w:space="0"/>
            </w:tcBorders>
            <w:shd w:val="clear" w:color="auto" w:fill="auto"/>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合计</w:t>
            </w:r>
          </w:p>
        </w:tc>
        <w:tc>
          <w:tcPr>
            <w:tcW w:w="1524" w:type="dxa"/>
            <w:tcBorders>
              <w:top w:val="single" w:color="auto" w:sz="12" w:space="0"/>
              <w:left w:val="single" w:color="auto" w:sz="4" w:space="0"/>
              <w:bottom w:val="single" w:color="auto" w:sz="12" w:space="0"/>
              <w:right w:val="single" w:color="auto" w:sz="4" w:space="0"/>
            </w:tcBorders>
            <w:shd w:val="clear" w:color="auto" w:fill="auto"/>
            <w:vAlign w:val="bottom"/>
          </w:tcPr>
          <w:p>
            <w:pPr>
              <w:jc w:val="right"/>
              <w:rPr>
                <w:rFonts w:cs="宋体" w:asciiTheme="minorEastAsia" w:hAnsiTheme="minorEastAsia" w:eastAsiaTheme="minorEastAsia"/>
                <w:b/>
                <w:bCs/>
                <w:color w:val="auto"/>
                <w:sz w:val="18"/>
                <w:szCs w:val="18"/>
              </w:rPr>
            </w:pPr>
            <w:r>
              <w:rPr>
                <w:rFonts w:ascii="宋体" w:hAnsi="宋体" w:cs="宋体"/>
                <w:b/>
                <w:bCs/>
                <w:color w:val="auto"/>
                <w:kern w:val="0"/>
                <w:sz w:val="18"/>
                <w:szCs w:val="18"/>
              </w:rPr>
              <w:t xml:space="preserve">21,462,310.06 </w:t>
            </w:r>
          </w:p>
        </w:tc>
        <w:tc>
          <w:tcPr>
            <w:tcW w:w="1524" w:type="dxa"/>
            <w:tcBorders>
              <w:top w:val="single" w:color="auto" w:sz="12" w:space="0"/>
              <w:left w:val="single" w:color="auto" w:sz="4" w:space="0"/>
              <w:bottom w:val="single" w:color="auto" w:sz="12" w:space="0"/>
              <w:right w:val="single" w:color="auto" w:sz="4" w:space="0"/>
            </w:tcBorders>
            <w:shd w:val="clear" w:color="auto" w:fill="auto"/>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76,433,073.87</w:t>
            </w:r>
          </w:p>
        </w:tc>
        <w:tc>
          <w:tcPr>
            <w:tcW w:w="1524" w:type="dxa"/>
            <w:tcBorders>
              <w:top w:val="single" w:color="auto" w:sz="12" w:space="0"/>
              <w:left w:val="single" w:color="auto" w:sz="4" w:space="0"/>
              <w:bottom w:val="single" w:color="auto" w:sz="12" w:space="0"/>
              <w:right w:val="single" w:color="auto" w:sz="4" w:space="0"/>
            </w:tcBorders>
            <w:shd w:val="clear" w:color="auto" w:fill="auto"/>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71,004,609.66</w:t>
            </w:r>
          </w:p>
        </w:tc>
        <w:tc>
          <w:tcPr>
            <w:tcW w:w="1524" w:type="dxa"/>
            <w:tcBorders>
              <w:top w:val="single" w:color="auto" w:sz="12" w:space="0"/>
              <w:left w:val="single" w:color="auto" w:sz="4" w:space="0"/>
              <w:bottom w:val="single" w:color="auto" w:sz="12" w:space="0"/>
            </w:tcBorders>
            <w:shd w:val="clear" w:color="auto" w:fill="auto"/>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26,890,774.27</w:t>
            </w:r>
          </w:p>
        </w:tc>
      </w:tr>
    </w:tbl>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（3）设定提存计划列示：</w:t>
      </w:r>
    </w:p>
    <w:tbl>
      <w:tblPr>
        <w:tblStyle w:val="9"/>
        <w:tblW w:w="8931" w:type="dxa"/>
        <w:tblCaption w:val="&quot;\\lisheng\共享\1、伟隆2022年度审计\1、2022年度审计\1、附注及报告\2022年\附注计算-伟隆 - 2022.xlsx&quot; &quot;2022附注格式!_ReportTable_0059&quot;"/>
        <w:tblDescription w:val="A458:E462"/>
        <w:tblInd w:w="108" w:type="dxa"/>
        <w:tblLayout w:type="fixed"/>
        <w:tblCellMar>
          <w:top w:w="0" w:type="dxa"/>
          <w:left w:w="108" w:type="dxa"/>
          <w:bottom w:w="0" w:type="dxa"/>
          <w:right w:w="108" w:type="dxa"/>
        </w:tblCellMar>
      </w:tblPr>
      <w:tblGrid>
        <w:gridCol w:w="2835"/>
        <w:gridCol w:w="1524"/>
        <w:gridCol w:w="1524"/>
        <w:gridCol w:w="1524"/>
        <w:gridCol w:w="1524"/>
      </w:tblGrid>
      <w:tr>
        <w:trPr>
          <w:trHeight w:val="454" w:hRule="atLeast"/>
        </w:trPr>
        <w:tc>
          <w:tcPr>
            <w:tcW w:w="2835" w:type="dxa"/>
            <w:tcBorders>
              <w:top w:val="single" w:color="auto" w:sz="12" w:space="0"/>
              <w:left w:val="nil"/>
              <w:bottom w:val="single" w:color="auto" w:sz="12"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项</w:t>
            </w:r>
            <w:r>
              <w:rPr>
                <w:rFonts w:ascii="宋体" w:hAnsi="宋体" w:cs="宋体"/>
                <w:b/>
                <w:bCs/>
                <w:color w:val="auto"/>
                <w:kern w:val="0"/>
                <w:sz w:val="18"/>
                <w:szCs w:val="18"/>
              </w:rPr>
              <w:t xml:space="preserve">   目</w:t>
            </w:r>
          </w:p>
        </w:tc>
        <w:tc>
          <w:tcPr>
            <w:tcW w:w="1524" w:type="dxa"/>
            <w:tcBorders>
              <w:top w:val="single" w:color="auto" w:sz="12"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期初余额</w:t>
            </w:r>
          </w:p>
        </w:tc>
        <w:tc>
          <w:tcPr>
            <w:tcW w:w="1524" w:type="dxa"/>
            <w:tcBorders>
              <w:top w:val="single" w:color="auto" w:sz="12"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本期增加</w:t>
            </w:r>
          </w:p>
        </w:tc>
        <w:tc>
          <w:tcPr>
            <w:tcW w:w="1524" w:type="dxa"/>
            <w:tcBorders>
              <w:top w:val="single" w:color="auto" w:sz="12"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本期减少</w:t>
            </w:r>
          </w:p>
        </w:tc>
        <w:tc>
          <w:tcPr>
            <w:tcW w:w="1524" w:type="dxa"/>
            <w:tcBorders>
              <w:top w:val="single" w:color="auto" w:sz="12" w:space="0"/>
              <w:left w:val="single" w:color="auto" w:sz="4" w:space="0"/>
              <w:bottom w:val="single" w:color="auto" w:sz="12" w:space="0"/>
              <w:right w:val="nil"/>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期末余额</w:t>
            </w:r>
          </w:p>
        </w:tc>
      </w:tr>
      <w:tr>
        <w:tblPrEx>
          <w:tblCellMar>
            <w:top w:w="0" w:type="dxa"/>
            <w:left w:w="108" w:type="dxa"/>
            <w:bottom w:w="0" w:type="dxa"/>
            <w:right w:w="108" w:type="dxa"/>
          </w:tblCellMar>
        </w:tblPrEx>
        <w:trPr>
          <w:trHeight w:val="454" w:hRule="atLeast"/>
        </w:trPr>
        <w:tc>
          <w:tcPr>
            <w:tcW w:w="2835" w:type="dxa"/>
            <w:tcBorders>
              <w:top w:val="nil"/>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一、基本养老保险费</w:t>
            </w:r>
          </w:p>
        </w:tc>
        <w:tc>
          <w:tcPr>
            <w:tcW w:w="1524"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color w:val="auto"/>
                <w:kern w:val="0"/>
                <w:sz w:val="18"/>
                <w:szCs w:val="18"/>
              </w:rPr>
            </w:pPr>
          </w:p>
        </w:tc>
        <w:tc>
          <w:tcPr>
            <w:tcW w:w="1524" w:type="dxa"/>
            <w:tcBorders>
              <w:top w:val="nil"/>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4,926,041.33</w:t>
            </w:r>
          </w:p>
        </w:tc>
        <w:tc>
          <w:tcPr>
            <w:tcW w:w="1524" w:type="dxa"/>
            <w:tcBorders>
              <w:top w:val="nil"/>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4,738,667.57</w:t>
            </w:r>
          </w:p>
        </w:tc>
        <w:tc>
          <w:tcPr>
            <w:tcW w:w="1524" w:type="dxa"/>
            <w:tcBorders>
              <w:top w:val="nil"/>
              <w:left w:val="single" w:color="auto" w:sz="4" w:space="0"/>
              <w:bottom w:val="single" w:color="auto" w:sz="4" w:space="0"/>
            </w:tcBorders>
            <w:shd w:val="clear" w:color="auto" w:fill="auto"/>
            <w:vAlign w:val="bottom"/>
          </w:tcPr>
          <w:p>
            <w:pPr>
              <w:jc w:val="right"/>
              <w:rPr>
                <w:rFonts w:ascii="宋体" w:hAnsi="宋体"/>
                <w:color w:val="auto"/>
                <w:sz w:val="18"/>
                <w:szCs w:val="18"/>
              </w:rPr>
            </w:pPr>
            <w:r>
              <w:rPr>
                <w:rFonts w:ascii="宋体" w:hAnsi="宋体"/>
                <w:color w:val="auto"/>
                <w:sz w:val="18"/>
                <w:szCs w:val="18"/>
              </w:rPr>
              <w:t>187,373.76</w:t>
            </w:r>
          </w:p>
        </w:tc>
      </w:tr>
      <w:tr>
        <w:trPr>
          <w:trHeight w:val="454" w:hRule="atLeast"/>
        </w:trPr>
        <w:tc>
          <w:tcPr>
            <w:tcW w:w="2835" w:type="dxa"/>
            <w:tcBorders>
              <w:top w:val="single" w:color="auto" w:sz="4" w:space="0"/>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二、失业保险费</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color w:val="auto"/>
                <w:kern w:val="0"/>
                <w:sz w:val="18"/>
                <w:szCs w:val="18"/>
              </w:rPr>
            </w:pP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216,670.40</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208,472.54</w:t>
            </w:r>
          </w:p>
        </w:tc>
        <w:tc>
          <w:tcPr>
            <w:tcW w:w="1524" w:type="dxa"/>
            <w:tcBorders>
              <w:top w:val="single" w:color="auto" w:sz="4" w:space="0"/>
              <w:left w:val="single" w:color="auto" w:sz="4" w:space="0"/>
              <w:bottom w:val="single" w:color="auto" w:sz="4" w:space="0"/>
            </w:tcBorders>
            <w:shd w:val="clear" w:color="auto" w:fill="auto"/>
            <w:vAlign w:val="bottom"/>
          </w:tcPr>
          <w:p>
            <w:pPr>
              <w:jc w:val="right"/>
              <w:rPr>
                <w:rFonts w:ascii="宋体" w:hAnsi="宋体"/>
                <w:color w:val="auto"/>
                <w:sz w:val="18"/>
                <w:szCs w:val="18"/>
              </w:rPr>
            </w:pPr>
            <w:r>
              <w:rPr>
                <w:rFonts w:ascii="宋体" w:hAnsi="宋体"/>
                <w:color w:val="auto"/>
                <w:sz w:val="18"/>
                <w:szCs w:val="18"/>
              </w:rPr>
              <w:t>8,197.86</w:t>
            </w:r>
          </w:p>
        </w:tc>
      </w:tr>
      <w:tr>
        <w:trPr>
          <w:trHeight w:val="454" w:hRule="atLeast"/>
        </w:trPr>
        <w:tc>
          <w:tcPr>
            <w:tcW w:w="2835" w:type="dxa"/>
            <w:tcBorders>
              <w:top w:val="single" w:color="auto" w:sz="4" w:space="0"/>
              <w:left w:val="nil"/>
              <w:bottom w:val="single" w:color="auto" w:sz="12"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三、企业年金缴费</w:t>
            </w:r>
          </w:p>
        </w:tc>
        <w:tc>
          <w:tcPr>
            <w:tcW w:w="1524" w:type="dxa"/>
            <w:tcBorders>
              <w:top w:val="single" w:color="auto" w:sz="4" w:space="0"/>
              <w:left w:val="single" w:color="auto" w:sz="4" w:space="0"/>
              <w:bottom w:val="single" w:color="auto" w:sz="12" w:space="0"/>
              <w:right w:val="single" w:color="auto" w:sz="4" w:space="0"/>
            </w:tcBorders>
            <w:shd w:val="clear" w:color="auto" w:fill="auto"/>
            <w:vAlign w:val="bottom"/>
          </w:tcPr>
          <w:p>
            <w:pPr>
              <w:widowControl/>
              <w:jc w:val="right"/>
              <w:rPr>
                <w:rFonts w:ascii="宋体" w:hAnsi="宋体" w:cs="宋体"/>
                <w:color w:val="auto"/>
                <w:kern w:val="0"/>
                <w:sz w:val="18"/>
                <w:szCs w:val="18"/>
              </w:rPr>
            </w:pPr>
          </w:p>
        </w:tc>
        <w:tc>
          <w:tcPr>
            <w:tcW w:w="1524" w:type="dxa"/>
            <w:tcBorders>
              <w:top w:val="single" w:color="auto" w:sz="4" w:space="0"/>
              <w:left w:val="single" w:color="auto" w:sz="4" w:space="0"/>
              <w:bottom w:val="single" w:color="auto" w:sz="12"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524" w:type="dxa"/>
            <w:tcBorders>
              <w:top w:val="single" w:color="auto" w:sz="4" w:space="0"/>
              <w:left w:val="single" w:color="auto" w:sz="4" w:space="0"/>
              <w:bottom w:val="single" w:color="auto" w:sz="12" w:space="0"/>
              <w:right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524" w:type="dxa"/>
            <w:tcBorders>
              <w:top w:val="single" w:color="auto" w:sz="4" w:space="0"/>
              <w:left w:val="single" w:color="auto" w:sz="4" w:space="0"/>
              <w:bottom w:val="single" w:color="auto" w:sz="12" w:space="0"/>
              <w:right w:val="nil"/>
            </w:tcBorders>
            <w:shd w:val="clear" w:color="auto" w:fill="auto"/>
            <w:vAlign w:val="bottom"/>
          </w:tcPr>
          <w:p>
            <w:pPr>
              <w:jc w:val="right"/>
              <w:rPr>
                <w:rFonts w:ascii="宋体" w:hAnsi="宋体"/>
                <w:color w:val="auto"/>
                <w:sz w:val="18"/>
                <w:szCs w:val="18"/>
              </w:rPr>
            </w:pPr>
          </w:p>
        </w:tc>
      </w:tr>
      <w:tr>
        <w:tblPrEx>
          <w:tblCellMar>
            <w:top w:w="0" w:type="dxa"/>
            <w:left w:w="108" w:type="dxa"/>
            <w:bottom w:w="0" w:type="dxa"/>
            <w:right w:w="108" w:type="dxa"/>
          </w:tblCellMar>
        </w:tblPrEx>
        <w:trPr>
          <w:trHeight w:val="454" w:hRule="atLeast"/>
        </w:trPr>
        <w:tc>
          <w:tcPr>
            <w:tcW w:w="2835" w:type="dxa"/>
            <w:tcBorders>
              <w:top w:val="single" w:color="auto" w:sz="12" w:space="0"/>
              <w:left w:val="nil"/>
              <w:bottom w:val="single" w:color="auto" w:sz="12" w:space="0"/>
              <w:right w:val="single" w:color="auto" w:sz="4" w:space="0"/>
            </w:tcBorders>
            <w:shd w:val="clear" w:color="auto" w:fill="auto"/>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合计</w:t>
            </w:r>
          </w:p>
        </w:tc>
        <w:tc>
          <w:tcPr>
            <w:tcW w:w="1524" w:type="dxa"/>
            <w:tcBorders>
              <w:top w:val="single" w:color="auto" w:sz="12" w:space="0"/>
              <w:left w:val="single" w:color="auto" w:sz="4" w:space="0"/>
              <w:bottom w:val="single" w:color="auto" w:sz="12" w:space="0"/>
              <w:right w:val="single" w:color="auto" w:sz="4" w:space="0"/>
            </w:tcBorders>
            <w:shd w:val="clear" w:color="auto" w:fill="auto"/>
            <w:vAlign w:val="bottom"/>
          </w:tcPr>
          <w:p>
            <w:pPr>
              <w:widowControl/>
              <w:jc w:val="right"/>
              <w:rPr>
                <w:rFonts w:ascii="宋体" w:hAnsi="宋体" w:cs="宋体"/>
                <w:b/>
                <w:bCs/>
                <w:color w:val="auto"/>
                <w:kern w:val="0"/>
                <w:sz w:val="18"/>
                <w:szCs w:val="18"/>
              </w:rPr>
            </w:pPr>
          </w:p>
        </w:tc>
        <w:tc>
          <w:tcPr>
            <w:tcW w:w="1524" w:type="dxa"/>
            <w:tcBorders>
              <w:top w:val="single" w:color="auto" w:sz="12" w:space="0"/>
              <w:left w:val="single" w:color="auto" w:sz="4" w:space="0"/>
              <w:bottom w:val="single" w:color="auto" w:sz="12" w:space="0"/>
              <w:right w:val="single" w:color="auto" w:sz="4" w:space="0"/>
            </w:tcBorders>
            <w:shd w:val="clear" w:color="auto" w:fill="auto"/>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5,142,711.73</w:t>
            </w:r>
          </w:p>
        </w:tc>
        <w:tc>
          <w:tcPr>
            <w:tcW w:w="1524" w:type="dxa"/>
            <w:tcBorders>
              <w:top w:val="single" w:color="auto" w:sz="12" w:space="0"/>
              <w:left w:val="single" w:color="auto" w:sz="4" w:space="0"/>
              <w:bottom w:val="single" w:color="auto" w:sz="12" w:space="0"/>
              <w:right w:val="single" w:color="auto" w:sz="4" w:space="0"/>
            </w:tcBorders>
            <w:shd w:val="clear" w:color="auto" w:fill="auto"/>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4,947,140.11</w:t>
            </w:r>
          </w:p>
        </w:tc>
        <w:tc>
          <w:tcPr>
            <w:tcW w:w="1524" w:type="dxa"/>
            <w:tcBorders>
              <w:top w:val="single" w:color="auto" w:sz="12" w:space="0"/>
              <w:left w:val="single" w:color="auto" w:sz="4" w:space="0"/>
              <w:bottom w:val="single" w:color="auto" w:sz="12" w:space="0"/>
            </w:tcBorders>
            <w:shd w:val="clear" w:color="auto" w:fill="auto"/>
            <w:vAlign w:val="bottom"/>
          </w:tcPr>
          <w:p>
            <w:pPr>
              <w:jc w:val="right"/>
              <w:rPr>
                <w:rFonts w:ascii="宋体" w:hAnsi="宋体" w:cs="宋体"/>
                <w:b/>
                <w:bCs/>
                <w:color w:val="auto"/>
                <w:sz w:val="18"/>
                <w:szCs w:val="18"/>
              </w:rPr>
            </w:pPr>
            <w:r>
              <w:rPr>
                <w:rFonts w:ascii="宋体" w:hAnsi="宋体" w:cs="宋体"/>
                <w:b/>
                <w:bCs/>
                <w:color w:val="auto"/>
                <w:sz w:val="18"/>
                <w:szCs w:val="18"/>
              </w:rPr>
              <w:t>195,571.62</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24、应交税费</w:t>
      </w:r>
    </w:p>
    <w:tbl>
      <w:tblPr>
        <w:tblStyle w:val="9"/>
        <w:tblW w:w="8879" w:type="dxa"/>
        <w:jc w:val="center"/>
        <w:tblLayout w:type="fixed"/>
        <w:tblCellMar>
          <w:top w:w="0" w:type="dxa"/>
          <w:left w:w="108" w:type="dxa"/>
          <w:bottom w:w="0" w:type="dxa"/>
          <w:right w:w="108" w:type="dxa"/>
        </w:tblCellMar>
      </w:tblPr>
      <w:tblGrid>
        <w:gridCol w:w="2922"/>
        <w:gridCol w:w="2978"/>
        <w:gridCol w:w="2979"/>
      </w:tblGrid>
      <w:tr>
        <w:tblPrEx>
          <w:tblCellMar>
            <w:top w:w="0" w:type="dxa"/>
            <w:left w:w="108" w:type="dxa"/>
            <w:bottom w:w="0" w:type="dxa"/>
            <w:right w:w="108" w:type="dxa"/>
          </w:tblCellMar>
        </w:tblPrEx>
        <w:trPr>
          <w:cantSplit/>
          <w:trHeight w:val="454" w:hRule="atLeast"/>
          <w:jc w:val="center"/>
        </w:trPr>
        <w:tc>
          <w:tcPr>
            <w:tcW w:w="2922" w:type="dxa"/>
            <w:tcBorders>
              <w:top w:val="single" w:color="auto" w:sz="12" w:space="0"/>
              <w:bottom w:val="single" w:color="auto" w:sz="12" w:space="0"/>
              <w:right w:val="single" w:color="auto" w:sz="4" w:space="0"/>
            </w:tcBorders>
            <w:vAlign w:val="bottom"/>
          </w:tcPr>
          <w:p>
            <w:pPr>
              <w:spacing w:line="360" w:lineRule="auto"/>
              <w:jc w:val="center"/>
              <w:rPr>
                <w:rFonts w:ascii="宋体"/>
                <w:b/>
                <w:bCs/>
                <w:color w:val="auto"/>
                <w:sz w:val="18"/>
                <w:szCs w:val="18"/>
              </w:rPr>
            </w:pPr>
            <w:r>
              <w:rPr>
                <w:rFonts w:hint="eastAsia" w:ascii="宋体" w:hAnsi="宋体"/>
                <w:b/>
                <w:bCs/>
                <w:color w:val="auto"/>
                <w:sz w:val="18"/>
                <w:szCs w:val="18"/>
              </w:rPr>
              <w:t>项目</w:t>
            </w:r>
          </w:p>
        </w:tc>
        <w:tc>
          <w:tcPr>
            <w:tcW w:w="2978" w:type="dxa"/>
            <w:tcBorders>
              <w:top w:val="single" w:color="auto" w:sz="12" w:space="0"/>
              <w:bottom w:val="single" w:color="auto" w:sz="12" w:space="0"/>
              <w:right w:val="single" w:color="auto" w:sz="4" w:space="0"/>
            </w:tcBorders>
            <w:vAlign w:val="bottom"/>
          </w:tcPr>
          <w:p>
            <w:pPr>
              <w:spacing w:line="360" w:lineRule="auto"/>
              <w:jc w:val="center"/>
              <w:rPr>
                <w:rFonts w:ascii="宋体"/>
                <w:b/>
                <w:color w:val="auto"/>
                <w:sz w:val="18"/>
                <w:szCs w:val="18"/>
              </w:rPr>
            </w:pPr>
            <w:r>
              <w:rPr>
                <w:rFonts w:hint="eastAsia" w:ascii="宋体" w:hAnsi="宋体"/>
                <w:b/>
                <w:color w:val="auto"/>
                <w:sz w:val="18"/>
                <w:szCs w:val="18"/>
              </w:rPr>
              <w:t>期末余额</w:t>
            </w:r>
          </w:p>
        </w:tc>
        <w:tc>
          <w:tcPr>
            <w:tcW w:w="2979" w:type="dxa"/>
            <w:tcBorders>
              <w:top w:val="single" w:color="auto" w:sz="12" w:space="0"/>
              <w:left w:val="single" w:color="auto" w:sz="4" w:space="0"/>
              <w:bottom w:val="single" w:color="auto" w:sz="12" w:space="0"/>
            </w:tcBorders>
            <w:vAlign w:val="bottom"/>
          </w:tcPr>
          <w:p>
            <w:pPr>
              <w:spacing w:line="360" w:lineRule="auto"/>
              <w:jc w:val="center"/>
              <w:rPr>
                <w:rFonts w:ascii="宋体"/>
                <w:b/>
                <w:color w:val="auto"/>
                <w:sz w:val="18"/>
                <w:szCs w:val="18"/>
              </w:rPr>
            </w:pPr>
            <w:r>
              <w:rPr>
                <w:rFonts w:hint="eastAsia" w:ascii="宋体" w:hAnsi="宋体"/>
                <w:b/>
                <w:color w:val="auto"/>
                <w:sz w:val="18"/>
                <w:szCs w:val="18"/>
              </w:rPr>
              <w:t>期初余额</w:t>
            </w:r>
          </w:p>
        </w:tc>
      </w:tr>
      <w:tr>
        <w:tblPrEx>
          <w:tblCellMar>
            <w:top w:w="0" w:type="dxa"/>
            <w:left w:w="108" w:type="dxa"/>
            <w:bottom w:w="0" w:type="dxa"/>
            <w:right w:w="108" w:type="dxa"/>
          </w:tblCellMar>
        </w:tblPrEx>
        <w:trPr>
          <w:cantSplit/>
          <w:trHeight w:val="454" w:hRule="atLeast"/>
          <w:jc w:val="center"/>
        </w:trPr>
        <w:tc>
          <w:tcPr>
            <w:tcW w:w="2922" w:type="dxa"/>
            <w:tcBorders>
              <w:top w:val="single" w:color="auto" w:sz="12" w:space="0"/>
              <w:bottom w:val="single" w:color="auto" w:sz="4" w:space="0"/>
              <w:right w:val="single" w:color="auto" w:sz="4" w:space="0"/>
            </w:tcBorders>
            <w:vAlign w:val="bottom"/>
          </w:tcPr>
          <w:p>
            <w:pPr>
              <w:rPr>
                <w:rFonts w:cs="宋体" w:asciiTheme="minorEastAsia" w:hAnsiTheme="minorEastAsia" w:eastAsiaTheme="minorEastAsia"/>
                <w:color w:val="auto"/>
                <w:sz w:val="18"/>
                <w:szCs w:val="18"/>
              </w:rPr>
            </w:pPr>
            <w:r>
              <w:rPr>
                <w:rFonts w:hint="eastAsia"/>
                <w:color w:val="auto"/>
                <w:sz w:val="18"/>
                <w:szCs w:val="18"/>
              </w:rPr>
              <w:t>增值税</w:t>
            </w:r>
          </w:p>
        </w:tc>
        <w:tc>
          <w:tcPr>
            <w:tcW w:w="2978" w:type="dxa"/>
            <w:tcBorders>
              <w:top w:val="single" w:color="auto" w:sz="12"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s="宋体"/>
                <w:color w:val="auto"/>
                <w:kern w:val="0"/>
                <w:sz w:val="18"/>
                <w:szCs w:val="18"/>
              </w:rPr>
              <w:t xml:space="preserve">1,683,562.23 </w:t>
            </w:r>
          </w:p>
        </w:tc>
        <w:tc>
          <w:tcPr>
            <w:tcW w:w="2979" w:type="dxa"/>
            <w:tcBorders>
              <w:top w:val="single" w:color="auto" w:sz="12"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762,702.05 </w:t>
            </w:r>
          </w:p>
        </w:tc>
      </w:tr>
      <w:tr>
        <w:tblPrEx>
          <w:tblCellMar>
            <w:top w:w="0" w:type="dxa"/>
            <w:left w:w="108" w:type="dxa"/>
            <w:bottom w:w="0" w:type="dxa"/>
            <w:right w:w="108" w:type="dxa"/>
          </w:tblCellMar>
        </w:tblPrEx>
        <w:trPr>
          <w:cantSplit/>
          <w:trHeight w:val="454" w:hRule="atLeast"/>
          <w:jc w:val="center"/>
        </w:trPr>
        <w:tc>
          <w:tcPr>
            <w:tcW w:w="2922" w:type="dxa"/>
            <w:tcBorders>
              <w:top w:val="single" w:color="auto" w:sz="4" w:space="0"/>
              <w:bottom w:val="single" w:color="auto" w:sz="4" w:space="0"/>
              <w:right w:val="single" w:color="auto" w:sz="4" w:space="0"/>
            </w:tcBorders>
            <w:vAlign w:val="bottom"/>
          </w:tcPr>
          <w:p>
            <w:pPr>
              <w:rPr>
                <w:rFonts w:cs="宋体" w:asciiTheme="minorEastAsia" w:hAnsiTheme="minorEastAsia" w:eastAsiaTheme="minorEastAsia"/>
                <w:color w:val="auto"/>
                <w:sz w:val="18"/>
                <w:szCs w:val="18"/>
              </w:rPr>
            </w:pPr>
            <w:r>
              <w:rPr>
                <w:rFonts w:hint="eastAsia"/>
                <w:color w:val="auto"/>
                <w:sz w:val="18"/>
                <w:szCs w:val="18"/>
              </w:rPr>
              <w:t>企业所得税</w:t>
            </w:r>
          </w:p>
        </w:tc>
        <w:tc>
          <w:tcPr>
            <w:tcW w:w="2978" w:type="dxa"/>
            <w:tcBorders>
              <w:top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s="宋体"/>
                <w:color w:val="auto"/>
                <w:kern w:val="0"/>
                <w:sz w:val="18"/>
                <w:szCs w:val="18"/>
              </w:rPr>
              <w:t xml:space="preserve">9,535,585.99  </w:t>
            </w:r>
          </w:p>
        </w:tc>
        <w:tc>
          <w:tcPr>
            <w:tcW w:w="2979" w:type="dxa"/>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3,209,214.34 </w:t>
            </w:r>
          </w:p>
        </w:tc>
      </w:tr>
      <w:tr>
        <w:tblPrEx>
          <w:tblCellMar>
            <w:top w:w="0" w:type="dxa"/>
            <w:left w:w="108" w:type="dxa"/>
            <w:bottom w:w="0" w:type="dxa"/>
            <w:right w:w="108" w:type="dxa"/>
          </w:tblCellMar>
        </w:tblPrEx>
        <w:trPr>
          <w:cantSplit/>
          <w:trHeight w:val="454" w:hRule="atLeast"/>
          <w:jc w:val="center"/>
        </w:trPr>
        <w:tc>
          <w:tcPr>
            <w:tcW w:w="2922" w:type="dxa"/>
            <w:tcBorders>
              <w:top w:val="single" w:color="auto" w:sz="4" w:space="0"/>
              <w:bottom w:val="single" w:color="auto" w:sz="4" w:space="0"/>
              <w:right w:val="single" w:color="auto" w:sz="4" w:space="0"/>
            </w:tcBorders>
            <w:vAlign w:val="bottom"/>
          </w:tcPr>
          <w:p>
            <w:pPr>
              <w:rPr>
                <w:rFonts w:cs="宋体" w:asciiTheme="minorEastAsia" w:hAnsiTheme="minorEastAsia" w:eastAsiaTheme="minorEastAsia"/>
                <w:color w:val="auto"/>
                <w:sz w:val="18"/>
                <w:szCs w:val="18"/>
              </w:rPr>
            </w:pPr>
            <w:r>
              <w:rPr>
                <w:rFonts w:hint="eastAsia"/>
                <w:color w:val="auto"/>
                <w:sz w:val="18"/>
                <w:szCs w:val="18"/>
              </w:rPr>
              <w:t>城市维护建设税</w:t>
            </w:r>
          </w:p>
        </w:tc>
        <w:tc>
          <w:tcPr>
            <w:tcW w:w="2978" w:type="dxa"/>
            <w:tcBorders>
              <w:top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s="宋体"/>
                <w:color w:val="auto"/>
                <w:kern w:val="0"/>
                <w:sz w:val="18"/>
                <w:szCs w:val="18"/>
              </w:rPr>
              <w:t xml:space="preserve">577,172.38 </w:t>
            </w:r>
          </w:p>
        </w:tc>
        <w:tc>
          <w:tcPr>
            <w:tcW w:w="2979" w:type="dxa"/>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248,547.85 </w:t>
            </w:r>
          </w:p>
        </w:tc>
      </w:tr>
      <w:tr>
        <w:tblPrEx>
          <w:tblCellMar>
            <w:top w:w="0" w:type="dxa"/>
            <w:left w:w="108" w:type="dxa"/>
            <w:bottom w:w="0" w:type="dxa"/>
            <w:right w:w="108" w:type="dxa"/>
          </w:tblCellMar>
        </w:tblPrEx>
        <w:trPr>
          <w:cantSplit/>
          <w:trHeight w:val="454" w:hRule="atLeast"/>
          <w:jc w:val="center"/>
        </w:trPr>
        <w:tc>
          <w:tcPr>
            <w:tcW w:w="2922" w:type="dxa"/>
            <w:tcBorders>
              <w:top w:val="single" w:color="auto" w:sz="4" w:space="0"/>
              <w:bottom w:val="single" w:color="auto" w:sz="4" w:space="0"/>
              <w:right w:val="single" w:color="auto" w:sz="4" w:space="0"/>
            </w:tcBorders>
            <w:vAlign w:val="bottom"/>
          </w:tcPr>
          <w:p>
            <w:pPr>
              <w:rPr>
                <w:rFonts w:cs="宋体" w:asciiTheme="minorEastAsia" w:hAnsiTheme="minorEastAsia" w:eastAsiaTheme="minorEastAsia"/>
                <w:color w:val="auto"/>
                <w:sz w:val="18"/>
                <w:szCs w:val="18"/>
              </w:rPr>
            </w:pPr>
            <w:r>
              <w:rPr>
                <w:rFonts w:hint="eastAsia"/>
                <w:color w:val="auto"/>
                <w:sz w:val="18"/>
                <w:szCs w:val="18"/>
              </w:rPr>
              <w:t>印花税</w:t>
            </w:r>
          </w:p>
        </w:tc>
        <w:tc>
          <w:tcPr>
            <w:tcW w:w="2978" w:type="dxa"/>
            <w:tcBorders>
              <w:top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s="宋体"/>
                <w:color w:val="auto"/>
                <w:kern w:val="0"/>
                <w:sz w:val="18"/>
                <w:szCs w:val="18"/>
              </w:rPr>
              <w:t xml:space="preserve">54,324.98 </w:t>
            </w:r>
          </w:p>
        </w:tc>
        <w:tc>
          <w:tcPr>
            <w:tcW w:w="2979" w:type="dxa"/>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43,412.00 </w:t>
            </w:r>
          </w:p>
        </w:tc>
      </w:tr>
      <w:tr>
        <w:tblPrEx>
          <w:tblCellMar>
            <w:top w:w="0" w:type="dxa"/>
            <w:left w:w="108" w:type="dxa"/>
            <w:bottom w:w="0" w:type="dxa"/>
            <w:right w:w="108" w:type="dxa"/>
          </w:tblCellMar>
        </w:tblPrEx>
        <w:trPr>
          <w:cantSplit/>
          <w:trHeight w:val="454" w:hRule="atLeast"/>
          <w:jc w:val="center"/>
        </w:trPr>
        <w:tc>
          <w:tcPr>
            <w:tcW w:w="2922" w:type="dxa"/>
            <w:tcBorders>
              <w:top w:val="single" w:color="auto" w:sz="4" w:space="0"/>
              <w:bottom w:val="single" w:color="auto" w:sz="4" w:space="0"/>
              <w:right w:val="single" w:color="auto" w:sz="4" w:space="0"/>
            </w:tcBorders>
            <w:vAlign w:val="bottom"/>
          </w:tcPr>
          <w:p>
            <w:pPr>
              <w:rPr>
                <w:rFonts w:cs="宋体" w:asciiTheme="minorEastAsia" w:hAnsiTheme="minorEastAsia" w:eastAsiaTheme="minorEastAsia"/>
                <w:color w:val="auto"/>
                <w:sz w:val="18"/>
                <w:szCs w:val="18"/>
              </w:rPr>
            </w:pPr>
            <w:r>
              <w:rPr>
                <w:rFonts w:hint="eastAsia"/>
                <w:color w:val="auto"/>
                <w:sz w:val="18"/>
                <w:szCs w:val="18"/>
              </w:rPr>
              <w:t>房产税</w:t>
            </w:r>
          </w:p>
        </w:tc>
        <w:tc>
          <w:tcPr>
            <w:tcW w:w="2978" w:type="dxa"/>
            <w:tcBorders>
              <w:top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s="宋体"/>
                <w:color w:val="auto"/>
                <w:kern w:val="0"/>
                <w:sz w:val="18"/>
                <w:szCs w:val="18"/>
              </w:rPr>
              <w:t xml:space="preserve">338,610.00 </w:t>
            </w:r>
          </w:p>
        </w:tc>
        <w:tc>
          <w:tcPr>
            <w:tcW w:w="2979" w:type="dxa"/>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321,150.31 </w:t>
            </w:r>
          </w:p>
        </w:tc>
      </w:tr>
      <w:tr>
        <w:tblPrEx>
          <w:tblCellMar>
            <w:top w:w="0" w:type="dxa"/>
            <w:left w:w="108" w:type="dxa"/>
            <w:bottom w:w="0" w:type="dxa"/>
            <w:right w:w="108" w:type="dxa"/>
          </w:tblCellMar>
        </w:tblPrEx>
        <w:trPr>
          <w:cantSplit/>
          <w:trHeight w:val="454" w:hRule="atLeast"/>
          <w:jc w:val="center"/>
        </w:trPr>
        <w:tc>
          <w:tcPr>
            <w:tcW w:w="2922" w:type="dxa"/>
            <w:tcBorders>
              <w:top w:val="single" w:color="auto" w:sz="4" w:space="0"/>
              <w:bottom w:val="single" w:color="auto" w:sz="4" w:space="0"/>
              <w:right w:val="single" w:color="auto" w:sz="4" w:space="0"/>
            </w:tcBorders>
            <w:vAlign w:val="bottom"/>
          </w:tcPr>
          <w:p>
            <w:pPr>
              <w:rPr>
                <w:rFonts w:cs="宋体" w:asciiTheme="minorEastAsia" w:hAnsiTheme="minorEastAsia" w:eastAsiaTheme="minorEastAsia"/>
                <w:color w:val="auto"/>
                <w:sz w:val="18"/>
                <w:szCs w:val="18"/>
              </w:rPr>
            </w:pPr>
            <w:r>
              <w:rPr>
                <w:rFonts w:hint="eastAsia"/>
                <w:color w:val="auto"/>
                <w:sz w:val="18"/>
                <w:szCs w:val="18"/>
              </w:rPr>
              <w:t>城镇土地使用税</w:t>
            </w:r>
          </w:p>
        </w:tc>
        <w:tc>
          <w:tcPr>
            <w:tcW w:w="2978" w:type="dxa"/>
            <w:tcBorders>
              <w:top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s="宋体"/>
                <w:color w:val="auto"/>
                <w:kern w:val="0"/>
                <w:sz w:val="18"/>
                <w:szCs w:val="18"/>
              </w:rPr>
              <w:t xml:space="preserve">117,428.85 </w:t>
            </w:r>
          </w:p>
        </w:tc>
        <w:tc>
          <w:tcPr>
            <w:tcW w:w="2979" w:type="dxa"/>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117,428.85 </w:t>
            </w:r>
          </w:p>
        </w:tc>
      </w:tr>
      <w:tr>
        <w:tblPrEx>
          <w:tblCellMar>
            <w:top w:w="0" w:type="dxa"/>
            <w:left w:w="108" w:type="dxa"/>
            <w:bottom w:w="0" w:type="dxa"/>
            <w:right w:w="108" w:type="dxa"/>
          </w:tblCellMar>
        </w:tblPrEx>
        <w:trPr>
          <w:cantSplit/>
          <w:trHeight w:val="454" w:hRule="atLeast"/>
          <w:jc w:val="center"/>
        </w:trPr>
        <w:tc>
          <w:tcPr>
            <w:tcW w:w="2922" w:type="dxa"/>
            <w:tcBorders>
              <w:top w:val="single" w:color="auto" w:sz="4" w:space="0"/>
              <w:bottom w:val="single" w:color="auto" w:sz="4" w:space="0"/>
              <w:right w:val="single" w:color="auto" w:sz="4" w:space="0"/>
            </w:tcBorders>
            <w:vAlign w:val="bottom"/>
          </w:tcPr>
          <w:p>
            <w:pPr>
              <w:rPr>
                <w:rFonts w:cs="宋体" w:asciiTheme="minorEastAsia" w:hAnsiTheme="minorEastAsia" w:eastAsiaTheme="minorEastAsia"/>
                <w:color w:val="auto"/>
                <w:sz w:val="18"/>
                <w:szCs w:val="18"/>
              </w:rPr>
            </w:pPr>
            <w:r>
              <w:rPr>
                <w:rFonts w:hint="eastAsia"/>
                <w:color w:val="auto"/>
                <w:sz w:val="18"/>
                <w:szCs w:val="18"/>
              </w:rPr>
              <w:t>个人所得税</w:t>
            </w:r>
          </w:p>
        </w:tc>
        <w:tc>
          <w:tcPr>
            <w:tcW w:w="2978" w:type="dxa"/>
            <w:tcBorders>
              <w:top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s="宋体"/>
                <w:color w:val="auto"/>
                <w:kern w:val="0"/>
                <w:sz w:val="18"/>
                <w:szCs w:val="18"/>
              </w:rPr>
              <w:t xml:space="preserve">135,063.73 </w:t>
            </w:r>
          </w:p>
        </w:tc>
        <w:tc>
          <w:tcPr>
            <w:tcW w:w="2979" w:type="dxa"/>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80,982.79 </w:t>
            </w:r>
          </w:p>
        </w:tc>
      </w:tr>
      <w:tr>
        <w:tblPrEx>
          <w:tblCellMar>
            <w:top w:w="0" w:type="dxa"/>
            <w:left w:w="108" w:type="dxa"/>
            <w:bottom w:w="0" w:type="dxa"/>
            <w:right w:w="108" w:type="dxa"/>
          </w:tblCellMar>
        </w:tblPrEx>
        <w:trPr>
          <w:cantSplit/>
          <w:trHeight w:val="454" w:hRule="atLeast"/>
          <w:jc w:val="center"/>
        </w:trPr>
        <w:tc>
          <w:tcPr>
            <w:tcW w:w="2922" w:type="dxa"/>
            <w:tcBorders>
              <w:top w:val="single" w:color="auto" w:sz="4" w:space="0"/>
              <w:bottom w:val="single" w:color="auto" w:sz="4" w:space="0"/>
              <w:right w:val="single" w:color="auto" w:sz="4" w:space="0"/>
            </w:tcBorders>
            <w:vAlign w:val="bottom"/>
          </w:tcPr>
          <w:p>
            <w:pPr>
              <w:rPr>
                <w:rFonts w:cs="宋体" w:asciiTheme="minorEastAsia" w:hAnsiTheme="minorEastAsia" w:eastAsiaTheme="minorEastAsia"/>
                <w:color w:val="auto"/>
                <w:sz w:val="18"/>
                <w:szCs w:val="18"/>
              </w:rPr>
            </w:pPr>
            <w:r>
              <w:rPr>
                <w:rFonts w:hint="eastAsia"/>
                <w:color w:val="auto"/>
                <w:sz w:val="18"/>
                <w:szCs w:val="18"/>
              </w:rPr>
              <w:t>教育费附加</w:t>
            </w:r>
          </w:p>
        </w:tc>
        <w:tc>
          <w:tcPr>
            <w:tcW w:w="2978" w:type="dxa"/>
            <w:tcBorders>
              <w:top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s="宋体"/>
                <w:color w:val="auto"/>
                <w:kern w:val="0"/>
                <w:sz w:val="18"/>
                <w:szCs w:val="18"/>
              </w:rPr>
              <w:t xml:space="preserve">211,359.61 </w:t>
            </w:r>
          </w:p>
        </w:tc>
        <w:tc>
          <w:tcPr>
            <w:tcW w:w="2979" w:type="dxa"/>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106,520.51 </w:t>
            </w:r>
          </w:p>
        </w:tc>
      </w:tr>
      <w:tr>
        <w:tblPrEx>
          <w:tblCellMar>
            <w:top w:w="0" w:type="dxa"/>
            <w:left w:w="108" w:type="dxa"/>
            <w:bottom w:w="0" w:type="dxa"/>
            <w:right w:w="108" w:type="dxa"/>
          </w:tblCellMar>
        </w:tblPrEx>
        <w:trPr>
          <w:cantSplit/>
          <w:trHeight w:val="454" w:hRule="atLeast"/>
          <w:jc w:val="center"/>
        </w:trPr>
        <w:tc>
          <w:tcPr>
            <w:tcW w:w="2922" w:type="dxa"/>
            <w:tcBorders>
              <w:top w:val="single" w:color="auto" w:sz="4" w:space="0"/>
              <w:bottom w:val="single" w:color="auto" w:sz="4" w:space="0"/>
              <w:right w:val="single" w:color="auto" w:sz="4" w:space="0"/>
            </w:tcBorders>
            <w:vAlign w:val="bottom"/>
          </w:tcPr>
          <w:p>
            <w:pPr>
              <w:rPr>
                <w:rFonts w:cs="宋体" w:asciiTheme="minorEastAsia" w:hAnsiTheme="minorEastAsia" w:eastAsiaTheme="minorEastAsia"/>
                <w:color w:val="auto"/>
                <w:sz w:val="18"/>
                <w:szCs w:val="18"/>
              </w:rPr>
            </w:pPr>
            <w:r>
              <w:rPr>
                <w:rFonts w:hint="eastAsia"/>
                <w:color w:val="auto"/>
                <w:sz w:val="18"/>
                <w:szCs w:val="18"/>
              </w:rPr>
              <w:t>地方教育费附加</w:t>
            </w:r>
          </w:p>
        </w:tc>
        <w:tc>
          <w:tcPr>
            <w:tcW w:w="2978" w:type="dxa"/>
            <w:tcBorders>
              <w:top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s="宋体"/>
                <w:color w:val="auto"/>
                <w:kern w:val="0"/>
                <w:sz w:val="18"/>
                <w:szCs w:val="18"/>
              </w:rPr>
              <w:t xml:space="preserve">164,906.39 </w:t>
            </w:r>
          </w:p>
        </w:tc>
        <w:tc>
          <w:tcPr>
            <w:tcW w:w="2979" w:type="dxa"/>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71,013.68 </w:t>
            </w:r>
          </w:p>
        </w:tc>
      </w:tr>
      <w:tr>
        <w:tblPrEx>
          <w:tblCellMar>
            <w:top w:w="0" w:type="dxa"/>
            <w:left w:w="108" w:type="dxa"/>
            <w:bottom w:w="0" w:type="dxa"/>
            <w:right w:w="108" w:type="dxa"/>
          </w:tblCellMar>
        </w:tblPrEx>
        <w:trPr>
          <w:cantSplit/>
          <w:trHeight w:val="454" w:hRule="atLeast"/>
          <w:jc w:val="center"/>
        </w:trPr>
        <w:tc>
          <w:tcPr>
            <w:tcW w:w="2922" w:type="dxa"/>
            <w:tcBorders>
              <w:top w:val="single" w:color="auto" w:sz="2" w:space="0"/>
              <w:bottom w:val="single" w:color="auto" w:sz="12" w:space="0"/>
              <w:right w:val="single" w:color="auto" w:sz="4" w:space="0"/>
            </w:tcBorders>
            <w:vAlign w:val="bottom"/>
          </w:tcPr>
          <w:p>
            <w:pPr>
              <w:rPr>
                <w:rFonts w:asciiTheme="minorEastAsia" w:hAnsiTheme="minorEastAsia" w:eastAsiaTheme="minorEastAsia"/>
                <w:color w:val="auto"/>
                <w:sz w:val="18"/>
                <w:szCs w:val="18"/>
              </w:rPr>
            </w:pPr>
            <w:r>
              <w:rPr>
                <w:rFonts w:hint="eastAsia"/>
                <w:color w:val="auto"/>
                <w:sz w:val="18"/>
                <w:szCs w:val="18"/>
              </w:rPr>
              <w:t>其他</w:t>
            </w:r>
          </w:p>
        </w:tc>
        <w:tc>
          <w:tcPr>
            <w:tcW w:w="2978" w:type="dxa"/>
            <w:tcBorders>
              <w:top w:val="single" w:color="auto" w:sz="2" w:space="0"/>
              <w:bottom w:val="single" w:color="auto" w:sz="12" w:space="0"/>
              <w:right w:val="single" w:color="auto" w:sz="4" w:space="0"/>
            </w:tcBorders>
            <w:vAlign w:val="bottom"/>
          </w:tcPr>
          <w:p>
            <w:pPr>
              <w:jc w:val="right"/>
              <w:rPr>
                <w:rFonts w:ascii="宋体" w:hAnsi="宋体" w:cs="宋体"/>
                <w:color w:val="auto"/>
                <w:sz w:val="18"/>
                <w:szCs w:val="18"/>
              </w:rPr>
            </w:pPr>
            <w:r>
              <w:rPr>
                <w:rFonts w:ascii="宋体" w:hAnsi="宋体" w:cs="宋体"/>
                <w:color w:val="auto"/>
                <w:kern w:val="0"/>
                <w:sz w:val="18"/>
                <w:szCs w:val="18"/>
              </w:rPr>
              <w:t xml:space="preserve">1,466.57 </w:t>
            </w:r>
          </w:p>
        </w:tc>
        <w:tc>
          <w:tcPr>
            <w:tcW w:w="2979" w:type="dxa"/>
            <w:tcBorders>
              <w:top w:val="single" w:color="auto" w:sz="2" w:space="0"/>
              <w:left w:val="single" w:color="auto" w:sz="4" w:space="0"/>
              <w:bottom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1,896.27 </w:t>
            </w:r>
          </w:p>
        </w:tc>
      </w:tr>
      <w:tr>
        <w:tblPrEx>
          <w:tblCellMar>
            <w:top w:w="0" w:type="dxa"/>
            <w:left w:w="108" w:type="dxa"/>
            <w:bottom w:w="0" w:type="dxa"/>
            <w:right w:w="108" w:type="dxa"/>
          </w:tblCellMar>
        </w:tblPrEx>
        <w:trPr>
          <w:cantSplit/>
          <w:trHeight w:val="454" w:hRule="atLeast"/>
          <w:jc w:val="center"/>
        </w:trPr>
        <w:tc>
          <w:tcPr>
            <w:tcW w:w="2922" w:type="dxa"/>
            <w:tcBorders>
              <w:top w:val="single" w:color="auto" w:sz="12" w:space="0"/>
              <w:bottom w:val="single" w:color="auto" w:sz="12" w:space="0"/>
              <w:right w:val="single" w:color="auto" w:sz="4" w:space="0"/>
            </w:tcBorders>
            <w:vAlign w:val="bottom"/>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合计</w:t>
            </w:r>
          </w:p>
        </w:tc>
        <w:tc>
          <w:tcPr>
            <w:tcW w:w="2978" w:type="dxa"/>
            <w:tcBorders>
              <w:top w:val="single" w:color="auto" w:sz="12" w:space="0"/>
              <w:bottom w:val="single" w:color="auto" w:sz="12" w:space="0"/>
              <w:right w:val="single" w:color="auto" w:sz="4" w:space="0"/>
            </w:tcBorders>
            <w:vAlign w:val="bottom"/>
          </w:tcPr>
          <w:p>
            <w:pPr>
              <w:jc w:val="right"/>
              <w:rPr>
                <w:rFonts w:ascii="宋体" w:hAnsi="宋体" w:cs="宋体"/>
                <w:b/>
                <w:bCs/>
                <w:color w:val="auto"/>
                <w:sz w:val="18"/>
                <w:szCs w:val="18"/>
              </w:rPr>
            </w:pPr>
            <w:r>
              <w:rPr>
                <w:rFonts w:ascii="宋体" w:hAnsi="宋体" w:cs="宋体"/>
                <w:b/>
                <w:bCs/>
                <w:color w:val="auto"/>
                <w:kern w:val="0"/>
                <w:sz w:val="18"/>
                <w:szCs w:val="18"/>
              </w:rPr>
              <w:t xml:space="preserve">12,819,480.73 </w:t>
            </w:r>
          </w:p>
        </w:tc>
        <w:tc>
          <w:tcPr>
            <w:tcW w:w="2979" w:type="dxa"/>
            <w:tcBorders>
              <w:top w:val="single" w:color="auto" w:sz="12" w:space="0"/>
              <w:left w:val="single" w:color="auto" w:sz="4"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4,962,868.65 </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25、其他应付款</w:t>
      </w:r>
    </w:p>
    <w:p>
      <w:pPr>
        <w:tabs>
          <w:tab w:val="left" w:pos="2398"/>
        </w:tabs>
        <w:spacing w:before="150" w:beforeLines="50" w:after="150" w:afterLines="50" w:line="460" w:lineRule="exact"/>
        <w:ind w:firstLine="420" w:firstLineChars="200"/>
        <w:rPr>
          <w:rFonts w:ascii="宋体" w:hAnsi="宋体"/>
          <w:b/>
          <w:bCs/>
          <w:color w:val="auto"/>
          <w:szCs w:val="21"/>
        </w:rPr>
      </w:pPr>
      <w:r>
        <w:rPr>
          <w:rFonts w:hint="eastAsia" w:ascii="宋体" w:hAnsi="宋体"/>
          <w:b/>
          <w:color w:val="auto"/>
          <w:szCs w:val="21"/>
        </w:rPr>
        <w:t>总体情况列示：</w:t>
      </w:r>
    </w:p>
    <w:tbl>
      <w:tblPr>
        <w:tblStyle w:val="9"/>
        <w:tblW w:w="0" w:type="auto"/>
        <w:tblCaption w:val="&quot;\\lisheng\共享\1、伟隆2022年度审计\1、2022年度审计\1、附注及报告\2022年\附注计算-伟隆 - 2022.xlsx&quot; &quot;2022附注格式!_ReportTable_0061&quot;"/>
        <w:tblDescription w:val="A479:C483"/>
        <w:tblInd w:w="107" w:type="dxa"/>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Layout w:type="fixed"/>
        <w:tblCellMar>
          <w:top w:w="0" w:type="dxa"/>
          <w:left w:w="107" w:type="dxa"/>
          <w:bottom w:w="0" w:type="dxa"/>
          <w:right w:w="107" w:type="dxa"/>
        </w:tblCellMar>
      </w:tblPr>
      <w:tblGrid>
        <w:gridCol w:w="2908"/>
        <w:gridCol w:w="3015"/>
        <w:gridCol w:w="3017"/>
      </w:tblGrid>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107" w:type="dxa"/>
            <w:bottom w:w="0" w:type="dxa"/>
            <w:right w:w="107" w:type="dxa"/>
          </w:tblCellMar>
        </w:tblPrEx>
        <w:trPr>
          <w:cantSplit/>
          <w:trHeight w:val="454" w:hRule="atLeast"/>
        </w:trPr>
        <w:tc>
          <w:tcPr>
            <w:tcW w:w="2908" w:type="dxa"/>
            <w:tcBorders>
              <w:bottom w:val="single" w:color="000000" w:sz="12" w:space="0"/>
            </w:tcBorders>
            <w:vAlign w:val="center"/>
          </w:tcPr>
          <w:p>
            <w:pPr>
              <w:ind w:firstLine="361"/>
              <w:jc w:val="center"/>
              <w:rPr>
                <w:rFonts w:ascii="宋体" w:hAnsi="宋体"/>
                <w:b/>
                <w:color w:val="auto"/>
                <w:sz w:val="18"/>
                <w:szCs w:val="18"/>
              </w:rPr>
            </w:pPr>
            <w:r>
              <w:rPr>
                <w:rFonts w:hint="eastAsia" w:ascii="宋体" w:hAnsi="宋体"/>
                <w:b/>
                <w:color w:val="auto"/>
                <w:sz w:val="18"/>
                <w:szCs w:val="18"/>
              </w:rPr>
              <w:t>项</w:t>
            </w:r>
            <w:r>
              <w:rPr>
                <w:rFonts w:ascii="宋体" w:hAnsi="宋体"/>
                <w:b/>
                <w:color w:val="auto"/>
                <w:sz w:val="18"/>
                <w:szCs w:val="18"/>
              </w:rPr>
              <w:t xml:space="preserve">  目</w:t>
            </w:r>
          </w:p>
        </w:tc>
        <w:tc>
          <w:tcPr>
            <w:tcW w:w="3015" w:type="dxa"/>
            <w:tcBorders>
              <w:bottom w:val="single" w:color="000000" w:sz="12" w:space="0"/>
            </w:tcBorders>
            <w:vAlign w:val="center"/>
          </w:tcPr>
          <w:p>
            <w:pPr>
              <w:ind w:firstLine="361"/>
              <w:jc w:val="center"/>
              <w:rPr>
                <w:rFonts w:ascii="宋体"/>
                <w:b/>
                <w:color w:val="auto"/>
                <w:sz w:val="18"/>
                <w:szCs w:val="18"/>
              </w:rPr>
            </w:pPr>
            <w:r>
              <w:rPr>
                <w:rFonts w:hint="eastAsia" w:ascii="宋体" w:hAnsi="宋体"/>
                <w:b/>
                <w:color w:val="auto"/>
                <w:sz w:val="18"/>
                <w:szCs w:val="18"/>
              </w:rPr>
              <w:t>期末余额</w:t>
            </w:r>
          </w:p>
        </w:tc>
        <w:tc>
          <w:tcPr>
            <w:tcW w:w="3017" w:type="dxa"/>
            <w:tcBorders>
              <w:bottom w:val="single" w:color="000000" w:sz="12" w:space="0"/>
            </w:tcBorders>
            <w:vAlign w:val="center"/>
          </w:tcPr>
          <w:p>
            <w:pPr>
              <w:ind w:firstLine="361"/>
              <w:jc w:val="center"/>
              <w:rPr>
                <w:rFonts w:ascii="宋体"/>
                <w:b/>
                <w:color w:val="auto"/>
                <w:sz w:val="18"/>
                <w:szCs w:val="18"/>
              </w:rPr>
            </w:pPr>
            <w:r>
              <w:rPr>
                <w:rFonts w:hint="eastAsia" w:ascii="宋体" w:hAnsi="宋体"/>
                <w:b/>
                <w:color w:val="auto"/>
                <w:sz w:val="18"/>
                <w:szCs w:val="18"/>
              </w:rPr>
              <w:t>期初余额</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107" w:type="dxa"/>
            <w:bottom w:w="0" w:type="dxa"/>
            <w:right w:w="107" w:type="dxa"/>
          </w:tblCellMar>
        </w:tblPrEx>
        <w:trPr>
          <w:cantSplit/>
          <w:trHeight w:val="454" w:hRule="atLeast"/>
        </w:trPr>
        <w:tc>
          <w:tcPr>
            <w:tcW w:w="2908" w:type="dxa"/>
            <w:tcBorders>
              <w:bottom w:val="single" w:color="000000" w:sz="4" w:space="0"/>
            </w:tcBorders>
            <w:vAlign w:val="bottom"/>
          </w:tcPr>
          <w:p>
            <w:pPr>
              <w:rPr>
                <w:rFonts w:ascii="宋体" w:hAnsi="宋体"/>
                <w:color w:val="auto"/>
                <w:sz w:val="18"/>
                <w:szCs w:val="18"/>
              </w:rPr>
            </w:pPr>
            <w:r>
              <w:rPr>
                <w:rFonts w:hint="eastAsia" w:ascii="宋体" w:hAnsi="宋体"/>
                <w:color w:val="auto"/>
                <w:sz w:val="18"/>
                <w:szCs w:val="18"/>
              </w:rPr>
              <w:t>应付利息</w:t>
            </w:r>
          </w:p>
        </w:tc>
        <w:tc>
          <w:tcPr>
            <w:tcW w:w="3015" w:type="dxa"/>
            <w:tcBorders>
              <w:bottom w:val="single" w:color="000000" w:sz="4" w:space="0"/>
            </w:tcBorders>
            <w:vAlign w:val="bottom"/>
          </w:tcPr>
          <w:p>
            <w:pPr>
              <w:jc w:val="right"/>
              <w:rPr>
                <w:rFonts w:cs="宋体" w:asciiTheme="minorEastAsia" w:hAnsiTheme="minorEastAsia" w:eastAsiaTheme="minorEastAsia"/>
                <w:color w:val="auto"/>
                <w:sz w:val="18"/>
                <w:szCs w:val="18"/>
              </w:rPr>
            </w:pPr>
          </w:p>
        </w:tc>
        <w:tc>
          <w:tcPr>
            <w:tcW w:w="3017" w:type="dxa"/>
            <w:tcBorders>
              <w:bottom w:val="single" w:color="000000" w:sz="4" w:space="0"/>
            </w:tcBorders>
            <w:vAlign w:val="bottom"/>
          </w:tcPr>
          <w:p>
            <w:pPr>
              <w:jc w:val="right"/>
              <w:rPr>
                <w:rFonts w:ascii="宋体" w:hAnsi="宋体" w:cs="宋体"/>
                <w:color w:val="auto"/>
                <w:sz w:val="18"/>
                <w:szCs w:val="18"/>
              </w:rPr>
            </w:pP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PrEx>
        <w:trPr>
          <w:cantSplit/>
          <w:trHeight w:val="454" w:hRule="atLeast"/>
        </w:trPr>
        <w:tc>
          <w:tcPr>
            <w:tcW w:w="2908" w:type="dxa"/>
            <w:tcBorders>
              <w:top w:val="single" w:color="000000" w:sz="4" w:space="0"/>
              <w:bottom w:val="single" w:color="auto" w:sz="4" w:space="0"/>
            </w:tcBorders>
            <w:vAlign w:val="bottom"/>
          </w:tcPr>
          <w:p>
            <w:pPr>
              <w:rPr>
                <w:rFonts w:ascii="宋体" w:hAnsi="宋体"/>
                <w:color w:val="auto"/>
                <w:sz w:val="18"/>
                <w:szCs w:val="18"/>
              </w:rPr>
            </w:pPr>
            <w:r>
              <w:rPr>
                <w:rFonts w:hint="eastAsia" w:ascii="宋体" w:hAnsi="宋体"/>
                <w:color w:val="auto"/>
                <w:sz w:val="18"/>
                <w:szCs w:val="18"/>
              </w:rPr>
              <w:t>应付股利</w:t>
            </w:r>
          </w:p>
        </w:tc>
        <w:tc>
          <w:tcPr>
            <w:tcW w:w="3015" w:type="dxa"/>
            <w:tcBorders>
              <w:top w:val="single" w:color="000000" w:sz="4" w:space="0"/>
              <w:bottom w:val="single" w:color="auto" w:sz="4" w:space="0"/>
            </w:tcBorders>
            <w:vAlign w:val="bottom"/>
          </w:tcPr>
          <w:p>
            <w:pPr>
              <w:jc w:val="right"/>
              <w:rPr>
                <w:rFonts w:asciiTheme="minorEastAsia" w:hAnsiTheme="minorEastAsia" w:eastAsiaTheme="minorEastAsia"/>
                <w:color w:val="auto"/>
                <w:sz w:val="18"/>
                <w:szCs w:val="18"/>
              </w:rPr>
            </w:pPr>
          </w:p>
        </w:tc>
        <w:tc>
          <w:tcPr>
            <w:tcW w:w="3017" w:type="dxa"/>
            <w:tcBorders>
              <w:top w:val="single" w:color="000000" w:sz="4" w:space="0"/>
              <w:bottom w:val="single" w:color="auto" w:sz="4" w:space="0"/>
            </w:tcBorders>
            <w:vAlign w:val="bottom"/>
          </w:tcPr>
          <w:p>
            <w:pPr>
              <w:jc w:val="right"/>
              <w:rPr>
                <w:rFonts w:ascii="宋体" w:hAnsi="宋体"/>
                <w:color w:val="auto"/>
                <w:sz w:val="18"/>
                <w:szCs w:val="18"/>
              </w:rPr>
            </w:pP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PrEx>
        <w:trPr>
          <w:cantSplit/>
          <w:trHeight w:val="454" w:hRule="atLeast"/>
        </w:trPr>
        <w:tc>
          <w:tcPr>
            <w:tcW w:w="2908" w:type="dxa"/>
            <w:tcBorders>
              <w:top w:val="single" w:color="auto" w:sz="4" w:space="0"/>
            </w:tcBorders>
            <w:vAlign w:val="bottom"/>
          </w:tcPr>
          <w:p>
            <w:pPr>
              <w:rPr>
                <w:rFonts w:ascii="宋体" w:hAnsi="宋体"/>
                <w:color w:val="auto"/>
                <w:sz w:val="18"/>
                <w:szCs w:val="18"/>
              </w:rPr>
            </w:pPr>
            <w:r>
              <w:rPr>
                <w:rFonts w:hint="eastAsia" w:ascii="宋体" w:hAnsi="宋体"/>
                <w:color w:val="auto"/>
                <w:sz w:val="18"/>
                <w:szCs w:val="18"/>
              </w:rPr>
              <w:t>其他应付款</w:t>
            </w:r>
          </w:p>
        </w:tc>
        <w:tc>
          <w:tcPr>
            <w:tcW w:w="3015" w:type="dxa"/>
            <w:tcBorders>
              <w:top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21,663,868.40</w:t>
            </w:r>
          </w:p>
        </w:tc>
        <w:tc>
          <w:tcPr>
            <w:tcW w:w="3017" w:type="dxa"/>
            <w:tcBorders>
              <w:top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34,116,462.22 </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PrEx>
        <w:trPr>
          <w:cantSplit/>
          <w:trHeight w:val="454" w:hRule="atLeast"/>
        </w:trPr>
        <w:tc>
          <w:tcPr>
            <w:tcW w:w="2908" w:type="dxa"/>
            <w:vAlign w:val="bottom"/>
          </w:tcPr>
          <w:p>
            <w:pPr>
              <w:ind w:firstLine="361"/>
              <w:jc w:val="center"/>
              <w:rPr>
                <w:rFonts w:ascii="宋体" w:hAnsi="宋体"/>
                <w:b/>
                <w:color w:val="auto"/>
                <w:sz w:val="18"/>
                <w:szCs w:val="18"/>
              </w:rPr>
            </w:pPr>
            <w:r>
              <w:rPr>
                <w:rFonts w:hint="eastAsia" w:ascii="宋体" w:hAnsi="宋体"/>
                <w:b/>
                <w:color w:val="auto"/>
                <w:sz w:val="18"/>
                <w:szCs w:val="18"/>
              </w:rPr>
              <w:t>合计</w:t>
            </w:r>
          </w:p>
        </w:tc>
        <w:tc>
          <w:tcPr>
            <w:tcW w:w="3015" w:type="dxa"/>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21,663,868.40</w:t>
            </w:r>
          </w:p>
        </w:tc>
        <w:tc>
          <w:tcPr>
            <w:tcW w:w="3017" w:type="dxa"/>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34,116,462.22 </w:t>
            </w:r>
          </w:p>
        </w:tc>
      </w:tr>
    </w:tbl>
    <w:p>
      <w:pPr>
        <w:spacing w:before="150" w:beforeLines="50" w:line="360" w:lineRule="auto"/>
        <w:ind w:firstLine="420" w:firstLineChars="200"/>
        <w:rPr>
          <w:rFonts w:ascii="宋体" w:hAnsi="宋体"/>
          <w:b/>
          <w:color w:val="auto"/>
          <w:szCs w:val="21"/>
        </w:rPr>
      </w:pPr>
      <w:r>
        <w:rPr>
          <w:rFonts w:hint="eastAsia" w:ascii="宋体" w:hAnsi="宋体"/>
          <w:b/>
          <w:color w:val="auto"/>
          <w:szCs w:val="21"/>
        </w:rPr>
        <w:t>（1）应付利息:无</w:t>
      </w:r>
    </w:p>
    <w:p>
      <w:pPr>
        <w:spacing w:before="150" w:beforeLines="50" w:line="360" w:lineRule="auto"/>
        <w:ind w:firstLine="420" w:firstLineChars="200"/>
        <w:rPr>
          <w:rFonts w:ascii="宋体" w:hAnsi="宋体"/>
          <w:b/>
          <w:color w:val="auto"/>
          <w:szCs w:val="21"/>
        </w:rPr>
      </w:pPr>
      <w:r>
        <w:rPr>
          <w:rFonts w:hint="eastAsia" w:ascii="宋体" w:hAnsi="宋体"/>
          <w:b/>
          <w:color w:val="auto"/>
          <w:szCs w:val="21"/>
        </w:rPr>
        <w:t>（2）应付股利：无</w:t>
      </w:r>
    </w:p>
    <w:p>
      <w:pPr>
        <w:spacing w:before="150" w:beforeLines="50" w:line="360" w:lineRule="auto"/>
        <w:ind w:firstLine="420" w:firstLineChars="200"/>
        <w:rPr>
          <w:rFonts w:ascii="宋体" w:hAnsi="宋体"/>
          <w:b/>
          <w:color w:val="auto"/>
          <w:szCs w:val="21"/>
        </w:rPr>
      </w:pPr>
      <w:r>
        <w:rPr>
          <w:rFonts w:hint="eastAsia" w:ascii="宋体" w:hAnsi="宋体"/>
          <w:b/>
          <w:color w:val="auto"/>
          <w:szCs w:val="21"/>
        </w:rPr>
        <w:t>（3）其他应付款列示</w:t>
      </w:r>
    </w:p>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①按账龄列示：</w:t>
      </w:r>
    </w:p>
    <w:tbl>
      <w:tblPr>
        <w:tblStyle w:val="9"/>
        <w:tblW w:w="5000" w:type="pct"/>
        <w:tblCaption w:val="&quot;\\lisheng\共享\1、伟隆2022年度审计\1、2022年度审计\1、附注及报告\2022年\附注计算-伟隆 - 2022.xlsx&quot; &quot;2022附注格式!_ReportTable_0062&quot;"/>
        <w:tblDescription w:val="A488:E494"/>
        <w:tblInd w:w="0" w:type="dxa"/>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Layout w:type="autofit"/>
        <w:tblCellMar>
          <w:top w:w="0" w:type="dxa"/>
          <w:left w:w="107" w:type="dxa"/>
          <w:bottom w:w="0" w:type="dxa"/>
          <w:right w:w="107" w:type="dxa"/>
        </w:tblCellMar>
      </w:tblPr>
      <w:tblGrid>
        <w:gridCol w:w="2236"/>
        <w:gridCol w:w="2443"/>
        <w:gridCol w:w="1403"/>
        <w:gridCol w:w="2291"/>
        <w:gridCol w:w="1478"/>
      </w:tblGrid>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exact"/>
        </w:trPr>
        <w:tc>
          <w:tcPr>
            <w:tcW w:w="1135" w:type="pct"/>
            <w:vMerge w:val="restart"/>
            <w:tcBorders>
              <w:top w:val="single" w:color="000000" w:sz="12" w:space="0"/>
              <w:bottom w:val="single" w:color="auto" w:sz="4" w:space="0"/>
              <w:right w:val="single" w:color="auto" w:sz="4" w:space="0"/>
            </w:tcBorders>
            <w:vAlign w:val="center"/>
          </w:tcPr>
          <w:p>
            <w:pPr>
              <w:spacing w:line="360" w:lineRule="auto"/>
              <w:jc w:val="center"/>
              <w:rPr>
                <w:rFonts w:ascii="宋体"/>
                <w:b/>
                <w:color w:val="auto"/>
                <w:sz w:val="18"/>
                <w:szCs w:val="18"/>
              </w:rPr>
            </w:pPr>
            <w:r>
              <w:rPr>
                <w:rFonts w:hint="eastAsia" w:ascii="宋体" w:hAnsi="宋体"/>
                <w:b/>
                <w:color w:val="auto"/>
                <w:sz w:val="18"/>
                <w:szCs w:val="18"/>
              </w:rPr>
              <w:t>账</w:t>
            </w:r>
            <w:r>
              <w:rPr>
                <w:rFonts w:ascii="宋体" w:hAnsi="宋体"/>
                <w:b/>
                <w:color w:val="auto"/>
                <w:sz w:val="18"/>
                <w:szCs w:val="18"/>
              </w:rPr>
              <w:t>龄</w:t>
            </w:r>
          </w:p>
        </w:tc>
        <w:tc>
          <w:tcPr>
            <w:tcW w:w="1952" w:type="pct"/>
            <w:gridSpan w:val="2"/>
            <w:tcBorders>
              <w:top w:val="single" w:color="000000" w:sz="12"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期末余额</w:t>
            </w:r>
          </w:p>
        </w:tc>
        <w:tc>
          <w:tcPr>
            <w:tcW w:w="1913" w:type="pct"/>
            <w:gridSpan w:val="2"/>
            <w:tcBorders>
              <w:top w:val="single" w:color="000000" w:sz="12" w:space="0"/>
              <w:left w:val="single" w:color="auto" w:sz="4" w:space="0"/>
              <w:bottom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期初余额</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exact"/>
        </w:trPr>
        <w:tc>
          <w:tcPr>
            <w:tcW w:w="1135" w:type="pct"/>
            <w:vMerge w:val="continue"/>
            <w:tcBorders>
              <w:top w:val="single" w:color="auto" w:sz="4" w:space="0"/>
              <w:bottom w:val="single" w:color="auto" w:sz="4" w:space="0"/>
              <w:right w:val="single" w:color="auto" w:sz="4" w:space="0"/>
            </w:tcBorders>
            <w:vAlign w:val="center"/>
          </w:tcPr>
          <w:p>
            <w:pPr>
              <w:spacing w:line="360" w:lineRule="auto"/>
              <w:jc w:val="center"/>
              <w:rPr>
                <w:rFonts w:ascii="宋体"/>
                <w:color w:val="auto"/>
                <w:sz w:val="18"/>
                <w:szCs w:val="18"/>
              </w:rPr>
            </w:pPr>
          </w:p>
        </w:tc>
        <w:tc>
          <w:tcPr>
            <w:tcW w:w="1240" w:type="pct"/>
            <w:tcBorders>
              <w:top w:val="single" w:color="auto" w:sz="4" w:space="0"/>
              <w:left w:val="single" w:color="auto" w:sz="4"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金额</w:t>
            </w:r>
          </w:p>
        </w:tc>
        <w:tc>
          <w:tcPr>
            <w:tcW w:w="712" w:type="pct"/>
            <w:tcBorders>
              <w:top w:val="single" w:color="auto" w:sz="4" w:space="0"/>
              <w:left w:val="single" w:color="auto" w:sz="4"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比例（</w:t>
            </w:r>
            <w:r>
              <w:rPr>
                <w:rFonts w:asciiTheme="minorEastAsia" w:hAnsiTheme="minorEastAsia" w:eastAsiaTheme="minorEastAsia"/>
                <w:b/>
                <w:bCs/>
                <w:color w:val="auto"/>
                <w:sz w:val="18"/>
                <w:szCs w:val="18"/>
              </w:rPr>
              <w:t>%）</w:t>
            </w:r>
          </w:p>
        </w:tc>
        <w:tc>
          <w:tcPr>
            <w:tcW w:w="1163" w:type="pct"/>
            <w:tcBorders>
              <w:top w:val="single" w:color="auto" w:sz="4" w:space="0"/>
              <w:left w:val="single" w:color="auto" w:sz="4"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金额</w:t>
            </w:r>
          </w:p>
        </w:tc>
        <w:tc>
          <w:tcPr>
            <w:tcW w:w="750" w:type="pct"/>
            <w:tcBorders>
              <w:top w:val="single" w:color="auto" w:sz="4" w:space="0"/>
              <w:left w:val="single" w:color="auto" w:sz="4" w:space="0"/>
              <w:bottom w:val="single" w:color="auto" w:sz="12" w:space="0"/>
              <w:right w:val="nil"/>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比例（</w:t>
            </w:r>
            <w:r>
              <w:rPr>
                <w:rFonts w:asciiTheme="minorEastAsia" w:hAnsiTheme="minorEastAsia" w:eastAsiaTheme="minorEastAsia"/>
                <w:b/>
                <w:bCs/>
                <w:color w:val="auto"/>
                <w:sz w:val="18"/>
                <w:szCs w:val="18"/>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exact"/>
        </w:trPr>
        <w:tc>
          <w:tcPr>
            <w:tcW w:w="1135" w:type="pct"/>
            <w:tcBorders>
              <w:top w:val="single" w:color="auto" w:sz="12" w:space="0"/>
              <w:bottom w:val="single" w:color="auto" w:sz="4" w:space="0"/>
              <w:right w:val="single" w:color="auto" w:sz="4" w:space="0"/>
            </w:tcBorders>
            <w:vAlign w:val="bottom"/>
          </w:tcPr>
          <w:p>
            <w:pPr>
              <w:rPr>
                <w:rFonts w:ascii="宋体"/>
                <w:color w:val="auto"/>
                <w:sz w:val="18"/>
                <w:szCs w:val="18"/>
              </w:rPr>
            </w:pPr>
            <w:r>
              <w:rPr>
                <w:rFonts w:ascii="宋体" w:hAnsi="宋体"/>
                <w:color w:val="auto"/>
                <w:sz w:val="18"/>
                <w:szCs w:val="18"/>
              </w:rPr>
              <w:t>1年以内（含1年）</w:t>
            </w:r>
          </w:p>
        </w:tc>
        <w:tc>
          <w:tcPr>
            <w:tcW w:w="1240"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17,184,876.57</w:t>
            </w:r>
          </w:p>
        </w:tc>
        <w:tc>
          <w:tcPr>
            <w:tcW w:w="712"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79.33</w:t>
            </w:r>
          </w:p>
        </w:tc>
        <w:tc>
          <w:tcPr>
            <w:tcW w:w="1163" w:type="pct"/>
            <w:tcBorders>
              <w:top w:val="single" w:color="auto" w:sz="12"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29,196,877.47 </w:t>
            </w:r>
          </w:p>
        </w:tc>
        <w:tc>
          <w:tcPr>
            <w:tcW w:w="750" w:type="pct"/>
            <w:tcBorders>
              <w:top w:val="single" w:color="auto" w:sz="12" w:space="0"/>
              <w:left w:val="single" w:color="auto" w:sz="4" w:space="0"/>
              <w:bottom w:val="single" w:color="auto" w:sz="4" w:space="0"/>
              <w:right w:val="nil"/>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85.58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exact"/>
        </w:trPr>
        <w:tc>
          <w:tcPr>
            <w:tcW w:w="1135" w:type="pct"/>
            <w:tcBorders>
              <w:top w:val="single" w:color="auto" w:sz="4" w:space="0"/>
              <w:bottom w:val="single" w:color="auto" w:sz="4" w:space="0"/>
              <w:right w:val="single" w:color="auto" w:sz="4" w:space="0"/>
            </w:tcBorders>
            <w:vAlign w:val="bottom"/>
          </w:tcPr>
          <w:p>
            <w:pPr>
              <w:rPr>
                <w:rFonts w:ascii="宋体"/>
                <w:color w:val="auto"/>
                <w:sz w:val="18"/>
                <w:szCs w:val="18"/>
              </w:rPr>
            </w:pPr>
            <w:r>
              <w:rPr>
                <w:rFonts w:ascii="宋体" w:hAnsi="宋体"/>
                <w:color w:val="auto"/>
                <w:sz w:val="18"/>
                <w:szCs w:val="18"/>
              </w:rPr>
              <w:t>1至2年（含2年）</w:t>
            </w:r>
          </w:p>
        </w:tc>
        <w:tc>
          <w:tcPr>
            <w:tcW w:w="1240"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823,096.54</w:t>
            </w:r>
          </w:p>
        </w:tc>
        <w:tc>
          <w:tcPr>
            <w:tcW w:w="71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3.80</w:t>
            </w:r>
          </w:p>
        </w:tc>
        <w:tc>
          <w:tcPr>
            <w:tcW w:w="1163"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849,664.98 </w:t>
            </w:r>
          </w:p>
        </w:tc>
        <w:tc>
          <w:tcPr>
            <w:tcW w:w="750"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2.49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exact"/>
        </w:trPr>
        <w:tc>
          <w:tcPr>
            <w:tcW w:w="1135" w:type="pct"/>
            <w:tcBorders>
              <w:top w:val="single" w:color="auto" w:sz="4" w:space="0"/>
              <w:bottom w:val="single" w:color="auto" w:sz="4" w:space="0"/>
              <w:right w:val="single" w:color="auto" w:sz="4" w:space="0"/>
            </w:tcBorders>
            <w:vAlign w:val="bottom"/>
          </w:tcPr>
          <w:p>
            <w:pPr>
              <w:rPr>
                <w:rFonts w:ascii="宋体"/>
                <w:color w:val="auto"/>
                <w:sz w:val="18"/>
                <w:szCs w:val="18"/>
              </w:rPr>
            </w:pPr>
            <w:r>
              <w:rPr>
                <w:rFonts w:ascii="宋体" w:hAnsi="宋体"/>
                <w:color w:val="auto"/>
                <w:sz w:val="18"/>
                <w:szCs w:val="18"/>
              </w:rPr>
              <w:t>2至3年（含3年）</w:t>
            </w:r>
          </w:p>
        </w:tc>
        <w:tc>
          <w:tcPr>
            <w:tcW w:w="1240"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323,416.82</w:t>
            </w:r>
          </w:p>
        </w:tc>
        <w:tc>
          <w:tcPr>
            <w:tcW w:w="71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1.49</w:t>
            </w:r>
          </w:p>
        </w:tc>
        <w:tc>
          <w:tcPr>
            <w:tcW w:w="1163" w:type="pct"/>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2,281,581.53 </w:t>
            </w:r>
          </w:p>
        </w:tc>
        <w:tc>
          <w:tcPr>
            <w:tcW w:w="750"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6.69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exact"/>
        </w:trPr>
        <w:tc>
          <w:tcPr>
            <w:tcW w:w="1135" w:type="pct"/>
            <w:tcBorders>
              <w:top w:val="single" w:color="auto" w:sz="4" w:space="0"/>
              <w:bottom w:val="single" w:color="000000" w:sz="12" w:space="0"/>
              <w:right w:val="single" w:color="auto" w:sz="4" w:space="0"/>
            </w:tcBorders>
            <w:vAlign w:val="bottom"/>
          </w:tcPr>
          <w:p>
            <w:pPr>
              <w:rPr>
                <w:rFonts w:ascii="宋体"/>
                <w:color w:val="auto"/>
                <w:sz w:val="18"/>
                <w:szCs w:val="18"/>
              </w:rPr>
            </w:pPr>
            <w:r>
              <w:rPr>
                <w:rFonts w:ascii="宋体" w:hAnsi="宋体"/>
                <w:color w:val="auto"/>
                <w:sz w:val="18"/>
                <w:szCs w:val="18"/>
              </w:rPr>
              <w:t>3年以上</w:t>
            </w:r>
          </w:p>
        </w:tc>
        <w:tc>
          <w:tcPr>
            <w:tcW w:w="1240" w:type="pct"/>
            <w:tcBorders>
              <w:top w:val="single" w:color="auto" w:sz="4" w:space="0"/>
              <w:left w:val="single" w:color="auto" w:sz="4" w:space="0"/>
              <w:bottom w:val="single" w:color="000000" w:sz="12"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3,332,478.47</w:t>
            </w:r>
          </w:p>
        </w:tc>
        <w:tc>
          <w:tcPr>
            <w:tcW w:w="712" w:type="pct"/>
            <w:tcBorders>
              <w:top w:val="single" w:color="auto" w:sz="4" w:space="0"/>
              <w:left w:val="single" w:color="auto" w:sz="4" w:space="0"/>
              <w:bottom w:val="single" w:color="000000" w:sz="12"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15.38</w:t>
            </w:r>
          </w:p>
        </w:tc>
        <w:tc>
          <w:tcPr>
            <w:tcW w:w="1163" w:type="pct"/>
            <w:tcBorders>
              <w:top w:val="single" w:color="auto" w:sz="4" w:space="0"/>
              <w:left w:val="single" w:color="auto" w:sz="4" w:space="0"/>
              <w:bottom w:val="single" w:color="000000" w:sz="12"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1,788,338.24 </w:t>
            </w:r>
          </w:p>
        </w:tc>
        <w:tc>
          <w:tcPr>
            <w:tcW w:w="750" w:type="pct"/>
            <w:tcBorders>
              <w:top w:val="single" w:color="auto" w:sz="4" w:space="0"/>
              <w:left w:val="single" w:color="auto" w:sz="4" w:space="0"/>
              <w:bottom w:val="single" w:color="000000"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5.24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exact"/>
        </w:trPr>
        <w:tc>
          <w:tcPr>
            <w:tcW w:w="1135" w:type="pct"/>
            <w:tcBorders>
              <w:top w:val="single" w:color="auto" w:sz="12" w:space="0"/>
              <w:bottom w:val="single" w:color="000000" w:sz="12" w:space="0"/>
              <w:right w:val="single" w:color="auto" w:sz="4" w:space="0"/>
            </w:tcBorders>
            <w:vAlign w:val="bottom"/>
          </w:tcPr>
          <w:p>
            <w:pPr>
              <w:jc w:val="center"/>
              <w:rPr>
                <w:rFonts w:ascii="宋体"/>
                <w:b/>
                <w:color w:val="auto"/>
                <w:sz w:val="18"/>
                <w:szCs w:val="18"/>
              </w:rPr>
            </w:pPr>
            <w:r>
              <w:rPr>
                <w:rFonts w:hint="eastAsia" w:ascii="宋体" w:hAnsi="宋体"/>
                <w:b/>
                <w:bCs/>
                <w:color w:val="auto"/>
                <w:sz w:val="18"/>
                <w:szCs w:val="18"/>
              </w:rPr>
              <w:t>合计</w:t>
            </w:r>
          </w:p>
        </w:tc>
        <w:tc>
          <w:tcPr>
            <w:tcW w:w="1240" w:type="pct"/>
            <w:tcBorders>
              <w:top w:val="single" w:color="auto" w:sz="12" w:space="0"/>
              <w:left w:val="single" w:color="auto" w:sz="4" w:space="0"/>
              <w:bottom w:val="single" w:color="000000" w:sz="12" w:space="0"/>
              <w:right w:val="single" w:color="auto" w:sz="4" w:space="0"/>
            </w:tcBorders>
            <w:vAlign w:val="bottom"/>
          </w:tcPr>
          <w:p>
            <w:pPr>
              <w:jc w:val="right"/>
              <w:rPr>
                <w:rFonts w:ascii="宋体" w:hAnsi="宋体" w:cs="宋体"/>
                <w:b/>
                <w:bCs/>
                <w:color w:val="auto"/>
                <w:sz w:val="18"/>
                <w:szCs w:val="18"/>
              </w:rPr>
            </w:pPr>
            <w:r>
              <w:rPr>
                <w:rFonts w:ascii="宋体" w:hAnsi="宋体"/>
                <w:b/>
                <w:bCs/>
                <w:color w:val="auto"/>
                <w:sz w:val="18"/>
                <w:szCs w:val="18"/>
              </w:rPr>
              <w:t>21,663,868.40</w:t>
            </w:r>
          </w:p>
        </w:tc>
        <w:tc>
          <w:tcPr>
            <w:tcW w:w="712" w:type="pct"/>
            <w:tcBorders>
              <w:top w:val="single" w:color="auto" w:sz="12" w:space="0"/>
              <w:left w:val="single" w:color="auto" w:sz="4" w:space="0"/>
              <w:bottom w:val="single" w:color="000000" w:sz="12" w:space="0"/>
              <w:right w:val="single" w:color="auto" w:sz="4" w:space="0"/>
            </w:tcBorders>
            <w:vAlign w:val="bottom"/>
          </w:tcPr>
          <w:p>
            <w:pPr>
              <w:jc w:val="right"/>
              <w:rPr>
                <w:rFonts w:ascii="宋体" w:hAnsi="宋体" w:cs="宋体"/>
                <w:b/>
                <w:bCs/>
                <w:color w:val="auto"/>
                <w:sz w:val="18"/>
                <w:szCs w:val="18"/>
              </w:rPr>
            </w:pPr>
            <w:r>
              <w:rPr>
                <w:rFonts w:ascii="宋体" w:hAnsi="宋体"/>
                <w:b/>
                <w:bCs/>
                <w:color w:val="auto"/>
                <w:sz w:val="18"/>
                <w:szCs w:val="18"/>
              </w:rPr>
              <w:t>100.00</w:t>
            </w:r>
          </w:p>
        </w:tc>
        <w:tc>
          <w:tcPr>
            <w:tcW w:w="1163" w:type="pct"/>
            <w:tcBorders>
              <w:top w:val="single" w:color="auto" w:sz="12" w:space="0"/>
              <w:left w:val="single" w:color="auto" w:sz="4" w:space="0"/>
              <w:bottom w:val="single" w:color="000000"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34,116,462.22 </w:t>
            </w:r>
          </w:p>
        </w:tc>
        <w:tc>
          <w:tcPr>
            <w:tcW w:w="750" w:type="pct"/>
            <w:tcBorders>
              <w:top w:val="single" w:color="auto" w:sz="12" w:space="0"/>
              <w:left w:val="single" w:color="auto" w:sz="4" w:space="0"/>
              <w:bottom w:val="single" w:color="000000" w:sz="12" w:space="0"/>
            </w:tcBorders>
            <w:vAlign w:val="bottom"/>
          </w:tcPr>
          <w:p>
            <w:pPr>
              <w:jc w:val="right"/>
              <w:rPr>
                <w:rFonts w:cs="宋体" w:asciiTheme="minorEastAsia" w:hAnsiTheme="minorEastAsia" w:eastAsiaTheme="minorEastAsia"/>
                <w:b/>
                <w:color w:val="auto"/>
                <w:sz w:val="18"/>
                <w:szCs w:val="18"/>
              </w:rPr>
            </w:pPr>
            <w:r>
              <w:rPr>
                <w:rFonts w:hint="eastAsia" w:asciiTheme="minorEastAsia" w:hAnsiTheme="minorEastAsia" w:eastAsiaTheme="minorEastAsia"/>
                <w:b/>
                <w:bCs/>
                <w:color w:val="auto"/>
                <w:sz w:val="18"/>
                <w:szCs w:val="18"/>
              </w:rPr>
              <w:t xml:space="preserve">100.00 </w:t>
            </w:r>
          </w:p>
        </w:tc>
      </w:tr>
    </w:tbl>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②按款项性质列示：</w:t>
      </w:r>
    </w:p>
    <w:tbl>
      <w:tblPr>
        <w:tblStyle w:val="9"/>
        <w:tblW w:w="5000" w:type="pct"/>
        <w:tblInd w:w="0" w:type="dxa"/>
        <w:tblLayout w:type="fixed"/>
        <w:tblCellMar>
          <w:top w:w="0" w:type="dxa"/>
          <w:left w:w="108" w:type="dxa"/>
          <w:bottom w:w="0" w:type="dxa"/>
          <w:right w:w="108" w:type="dxa"/>
        </w:tblCellMar>
      </w:tblPr>
      <w:tblGrid>
        <w:gridCol w:w="2720"/>
        <w:gridCol w:w="3852"/>
        <w:gridCol w:w="3281"/>
      </w:tblGrid>
      <w:tr>
        <w:tblPrEx>
          <w:tblCellMar>
            <w:top w:w="0" w:type="dxa"/>
            <w:left w:w="108" w:type="dxa"/>
            <w:bottom w:w="0" w:type="dxa"/>
            <w:right w:w="108" w:type="dxa"/>
          </w:tblCellMar>
        </w:tblPrEx>
        <w:trPr>
          <w:cantSplit/>
          <w:trHeight w:val="454" w:hRule="atLeast"/>
        </w:trPr>
        <w:tc>
          <w:tcPr>
            <w:tcW w:w="1380" w:type="pct"/>
            <w:tcBorders>
              <w:top w:val="single" w:color="auto" w:sz="12" w:space="0"/>
              <w:left w:val="nil"/>
              <w:bottom w:val="single" w:color="auto" w:sz="12"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款项性质</w:t>
            </w:r>
          </w:p>
        </w:tc>
        <w:tc>
          <w:tcPr>
            <w:tcW w:w="1955" w:type="pct"/>
            <w:tcBorders>
              <w:top w:val="single" w:color="auto" w:sz="12"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期末余额</w:t>
            </w:r>
          </w:p>
        </w:tc>
        <w:tc>
          <w:tcPr>
            <w:tcW w:w="1665" w:type="pct"/>
            <w:tcBorders>
              <w:top w:val="single" w:color="auto" w:sz="12" w:space="0"/>
              <w:left w:val="single" w:color="auto" w:sz="4" w:space="0"/>
              <w:bottom w:val="single" w:color="auto" w:sz="12" w:space="0"/>
              <w:right w:val="nil"/>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期初余额</w:t>
            </w:r>
          </w:p>
        </w:tc>
      </w:tr>
      <w:tr>
        <w:tblPrEx>
          <w:tblCellMar>
            <w:top w:w="0" w:type="dxa"/>
            <w:left w:w="108" w:type="dxa"/>
            <w:bottom w:w="0" w:type="dxa"/>
            <w:right w:w="108" w:type="dxa"/>
          </w:tblCellMar>
        </w:tblPrEx>
        <w:trPr>
          <w:cantSplit/>
          <w:trHeight w:val="454" w:hRule="atLeast"/>
        </w:trPr>
        <w:tc>
          <w:tcPr>
            <w:tcW w:w="1380" w:type="pct"/>
            <w:tcBorders>
              <w:top w:val="single" w:color="auto" w:sz="12" w:space="0"/>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质保金及押金</w:t>
            </w:r>
          </w:p>
        </w:tc>
        <w:tc>
          <w:tcPr>
            <w:tcW w:w="1955" w:type="pct"/>
            <w:tcBorders>
              <w:top w:val="single" w:color="auto" w:sz="12"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color w:val="auto"/>
                <w:sz w:val="18"/>
                <w:szCs w:val="18"/>
              </w:rPr>
            </w:pPr>
            <w:r>
              <w:rPr>
                <w:rFonts w:ascii="宋体" w:hAnsi="宋体" w:cs="宋体"/>
                <w:color w:val="auto"/>
                <w:kern w:val="0"/>
                <w:sz w:val="18"/>
                <w:szCs w:val="18"/>
              </w:rPr>
              <w:t xml:space="preserve">9,867,683.02 </w:t>
            </w:r>
          </w:p>
        </w:tc>
        <w:tc>
          <w:tcPr>
            <w:tcW w:w="1665" w:type="pct"/>
            <w:tcBorders>
              <w:top w:val="single" w:color="auto" w:sz="12" w:space="0"/>
              <w:left w:val="single" w:color="auto" w:sz="4" w:space="0"/>
              <w:bottom w:val="single" w:color="auto" w:sz="4" w:space="0"/>
              <w:right w:val="nil"/>
            </w:tcBorders>
            <w:shd w:val="clear" w:color="auto" w:fill="auto"/>
            <w:noWrap/>
            <w:vAlign w:val="bottom"/>
          </w:tcPr>
          <w:p>
            <w:pPr>
              <w:jc w:val="right"/>
              <w:rPr>
                <w:rFonts w:ascii="宋体" w:hAnsi="宋体" w:cs="宋体"/>
                <w:color w:val="auto"/>
                <w:sz w:val="18"/>
                <w:szCs w:val="18"/>
              </w:rPr>
            </w:pPr>
            <w:r>
              <w:rPr>
                <w:rFonts w:ascii="宋体" w:hAnsi="宋体" w:cs="宋体"/>
                <w:color w:val="auto"/>
                <w:kern w:val="0"/>
                <w:sz w:val="18"/>
                <w:szCs w:val="18"/>
              </w:rPr>
              <w:t>16,353,836.98</w:t>
            </w:r>
          </w:p>
        </w:tc>
      </w:tr>
      <w:tr>
        <w:tblPrEx>
          <w:tblCellMar>
            <w:top w:w="0" w:type="dxa"/>
            <w:left w:w="108" w:type="dxa"/>
            <w:bottom w:w="0" w:type="dxa"/>
            <w:right w:w="108" w:type="dxa"/>
          </w:tblCellMar>
        </w:tblPrEx>
        <w:trPr>
          <w:cantSplit/>
          <w:trHeight w:val="454" w:hRule="atLeast"/>
        </w:trPr>
        <w:tc>
          <w:tcPr>
            <w:tcW w:w="1380" w:type="pct"/>
            <w:tcBorders>
              <w:top w:val="single" w:color="auto" w:sz="4" w:space="0"/>
              <w:left w:val="nil"/>
              <w:bottom w:val="single" w:color="auto" w:sz="4" w:space="0"/>
              <w:right w:val="single" w:color="auto" w:sz="4" w:space="0"/>
            </w:tcBorders>
            <w:shd w:val="clear" w:color="auto" w:fill="auto"/>
            <w:noWrap/>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单位往来款</w:t>
            </w:r>
          </w:p>
        </w:tc>
        <w:tc>
          <w:tcPr>
            <w:tcW w:w="1955" w:type="pct"/>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color w:val="auto"/>
                <w:sz w:val="18"/>
                <w:szCs w:val="18"/>
              </w:rPr>
            </w:pPr>
            <w:r>
              <w:rPr>
                <w:rFonts w:ascii="宋体" w:hAnsi="宋体" w:cs="宋体"/>
                <w:color w:val="auto"/>
                <w:kern w:val="0"/>
                <w:sz w:val="18"/>
                <w:szCs w:val="18"/>
              </w:rPr>
              <w:t xml:space="preserve">1,417,089.04 </w:t>
            </w:r>
          </w:p>
        </w:tc>
        <w:tc>
          <w:tcPr>
            <w:tcW w:w="1665" w:type="pct"/>
            <w:tcBorders>
              <w:top w:val="single" w:color="auto" w:sz="4" w:space="0"/>
              <w:left w:val="single" w:color="auto" w:sz="4" w:space="0"/>
              <w:bottom w:val="single" w:color="auto" w:sz="4" w:space="0"/>
              <w:right w:val="nil"/>
            </w:tcBorders>
            <w:shd w:val="clear" w:color="auto" w:fill="auto"/>
            <w:noWrap/>
            <w:vAlign w:val="bottom"/>
          </w:tcPr>
          <w:p>
            <w:pPr>
              <w:jc w:val="right"/>
              <w:rPr>
                <w:rFonts w:ascii="宋体" w:hAnsi="宋体" w:cs="宋体"/>
                <w:color w:val="auto"/>
                <w:sz w:val="18"/>
                <w:szCs w:val="18"/>
              </w:rPr>
            </w:pPr>
            <w:r>
              <w:rPr>
                <w:rFonts w:ascii="宋体" w:hAnsi="宋体" w:cs="宋体"/>
                <w:color w:val="auto"/>
                <w:kern w:val="0"/>
                <w:sz w:val="18"/>
                <w:szCs w:val="18"/>
              </w:rPr>
              <w:t>4,104,016.34</w:t>
            </w:r>
          </w:p>
        </w:tc>
      </w:tr>
      <w:tr>
        <w:tblPrEx>
          <w:tblCellMar>
            <w:top w:w="0" w:type="dxa"/>
            <w:left w:w="108" w:type="dxa"/>
            <w:bottom w:w="0" w:type="dxa"/>
            <w:right w:w="108" w:type="dxa"/>
          </w:tblCellMar>
        </w:tblPrEx>
        <w:trPr>
          <w:cantSplit/>
          <w:trHeight w:val="454" w:hRule="atLeast"/>
        </w:trPr>
        <w:tc>
          <w:tcPr>
            <w:tcW w:w="1380" w:type="pct"/>
            <w:tcBorders>
              <w:top w:val="single" w:color="auto" w:sz="4" w:space="0"/>
              <w:left w:val="nil"/>
              <w:bottom w:val="single" w:color="auto" w:sz="4" w:space="0"/>
              <w:right w:val="single" w:color="auto" w:sz="4" w:space="0"/>
            </w:tcBorders>
            <w:shd w:val="clear" w:color="auto" w:fill="auto"/>
            <w:noWrap/>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个人往来及其他</w:t>
            </w:r>
          </w:p>
        </w:tc>
        <w:tc>
          <w:tcPr>
            <w:tcW w:w="1955" w:type="pct"/>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color w:val="auto"/>
                <w:sz w:val="18"/>
                <w:szCs w:val="18"/>
              </w:rPr>
            </w:pPr>
            <w:r>
              <w:rPr>
                <w:rFonts w:ascii="宋体" w:hAnsi="宋体" w:cs="宋体"/>
                <w:color w:val="auto"/>
                <w:kern w:val="0"/>
                <w:sz w:val="18"/>
                <w:szCs w:val="18"/>
              </w:rPr>
              <w:t xml:space="preserve">9,010.44 </w:t>
            </w:r>
          </w:p>
        </w:tc>
        <w:tc>
          <w:tcPr>
            <w:tcW w:w="1665" w:type="pct"/>
            <w:tcBorders>
              <w:top w:val="single" w:color="auto" w:sz="4" w:space="0"/>
              <w:left w:val="single" w:color="auto" w:sz="4" w:space="0"/>
              <w:bottom w:val="single" w:color="auto" w:sz="4" w:space="0"/>
              <w:right w:val="nil"/>
            </w:tcBorders>
            <w:shd w:val="clear" w:color="auto" w:fill="auto"/>
            <w:noWrap/>
            <w:vAlign w:val="bottom"/>
          </w:tcPr>
          <w:p>
            <w:pPr>
              <w:jc w:val="right"/>
              <w:rPr>
                <w:rFonts w:ascii="宋体" w:hAnsi="宋体" w:cs="宋体"/>
                <w:color w:val="auto"/>
                <w:sz w:val="18"/>
                <w:szCs w:val="18"/>
              </w:rPr>
            </w:pPr>
            <w:r>
              <w:rPr>
                <w:rFonts w:ascii="宋体" w:hAnsi="宋体" w:cs="宋体"/>
                <w:color w:val="auto"/>
                <w:kern w:val="0"/>
                <w:sz w:val="18"/>
                <w:szCs w:val="18"/>
              </w:rPr>
              <w:t>58,608.90</w:t>
            </w:r>
          </w:p>
        </w:tc>
      </w:tr>
      <w:tr>
        <w:tblPrEx>
          <w:tblCellMar>
            <w:top w:w="0" w:type="dxa"/>
            <w:left w:w="108" w:type="dxa"/>
            <w:bottom w:w="0" w:type="dxa"/>
            <w:right w:w="108" w:type="dxa"/>
          </w:tblCellMar>
        </w:tblPrEx>
        <w:trPr>
          <w:cantSplit/>
          <w:trHeight w:val="454" w:hRule="atLeast"/>
        </w:trPr>
        <w:tc>
          <w:tcPr>
            <w:tcW w:w="1380" w:type="pct"/>
            <w:tcBorders>
              <w:top w:val="single" w:color="auto" w:sz="4" w:space="0"/>
              <w:left w:val="nil"/>
              <w:bottom w:val="single" w:color="auto" w:sz="12" w:space="0"/>
              <w:right w:val="single" w:color="auto" w:sz="4" w:space="0"/>
            </w:tcBorders>
            <w:shd w:val="clear" w:color="auto" w:fill="auto"/>
            <w:noWrap/>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限制性股票回购义务</w:t>
            </w:r>
          </w:p>
        </w:tc>
        <w:tc>
          <w:tcPr>
            <w:tcW w:w="1955" w:type="pct"/>
            <w:tcBorders>
              <w:top w:val="single" w:color="auto" w:sz="4" w:space="0"/>
              <w:left w:val="single" w:color="auto" w:sz="4" w:space="0"/>
              <w:bottom w:val="single" w:color="auto" w:sz="12" w:space="0"/>
              <w:right w:val="single" w:color="auto" w:sz="4" w:space="0"/>
            </w:tcBorders>
            <w:shd w:val="clear" w:color="auto" w:fill="auto"/>
            <w:noWrap/>
            <w:vAlign w:val="bottom"/>
          </w:tcPr>
          <w:p>
            <w:pPr>
              <w:jc w:val="right"/>
              <w:rPr>
                <w:rFonts w:ascii="宋体" w:hAnsi="宋体" w:cs="宋体"/>
                <w:color w:val="auto"/>
                <w:sz w:val="18"/>
                <w:szCs w:val="18"/>
              </w:rPr>
            </w:pPr>
            <w:r>
              <w:rPr>
                <w:rFonts w:ascii="宋体" w:hAnsi="宋体" w:cs="宋体"/>
                <w:color w:val="auto"/>
                <w:kern w:val="0"/>
                <w:sz w:val="18"/>
                <w:szCs w:val="18"/>
              </w:rPr>
              <w:t xml:space="preserve">10,370,085.90 </w:t>
            </w:r>
          </w:p>
        </w:tc>
        <w:tc>
          <w:tcPr>
            <w:tcW w:w="1665" w:type="pct"/>
            <w:tcBorders>
              <w:top w:val="single" w:color="auto" w:sz="4" w:space="0"/>
              <w:left w:val="single" w:color="auto" w:sz="4" w:space="0"/>
              <w:bottom w:val="single" w:color="auto" w:sz="12" w:space="0"/>
              <w:right w:val="nil"/>
            </w:tcBorders>
            <w:shd w:val="clear" w:color="auto" w:fill="auto"/>
            <w:noWrap/>
            <w:vAlign w:val="bottom"/>
          </w:tcPr>
          <w:p>
            <w:pPr>
              <w:jc w:val="right"/>
              <w:rPr>
                <w:rFonts w:ascii="宋体" w:hAnsi="宋体" w:cs="宋体"/>
                <w:color w:val="auto"/>
                <w:sz w:val="18"/>
                <w:szCs w:val="18"/>
              </w:rPr>
            </w:pPr>
            <w:r>
              <w:rPr>
                <w:rFonts w:ascii="宋体" w:hAnsi="宋体" w:cs="宋体"/>
                <w:color w:val="auto"/>
                <w:kern w:val="0"/>
                <w:sz w:val="18"/>
                <w:szCs w:val="18"/>
              </w:rPr>
              <w:t>13,600,000.00</w:t>
            </w:r>
          </w:p>
        </w:tc>
      </w:tr>
      <w:tr>
        <w:tblPrEx>
          <w:tblCellMar>
            <w:top w:w="0" w:type="dxa"/>
            <w:left w:w="108" w:type="dxa"/>
            <w:bottom w:w="0" w:type="dxa"/>
            <w:right w:w="108" w:type="dxa"/>
          </w:tblCellMar>
        </w:tblPrEx>
        <w:trPr>
          <w:cantSplit/>
          <w:trHeight w:val="454" w:hRule="atLeast"/>
        </w:trPr>
        <w:tc>
          <w:tcPr>
            <w:tcW w:w="1380" w:type="pct"/>
            <w:tcBorders>
              <w:top w:val="single" w:color="auto" w:sz="12" w:space="0"/>
              <w:left w:val="nil"/>
              <w:bottom w:val="single" w:color="auto" w:sz="12" w:space="0"/>
              <w:right w:val="single" w:color="auto" w:sz="4" w:space="0"/>
            </w:tcBorders>
            <w:shd w:val="clear" w:color="auto" w:fill="auto"/>
            <w:noWrap/>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合计</w:t>
            </w:r>
          </w:p>
        </w:tc>
        <w:tc>
          <w:tcPr>
            <w:tcW w:w="1955" w:type="pct"/>
            <w:tcBorders>
              <w:top w:val="single" w:color="auto" w:sz="12" w:space="0"/>
              <w:left w:val="single" w:color="auto" w:sz="4" w:space="0"/>
              <w:bottom w:val="single" w:color="auto" w:sz="12" w:space="0"/>
              <w:right w:val="single" w:color="auto" w:sz="4" w:space="0"/>
            </w:tcBorders>
            <w:shd w:val="clear" w:color="auto" w:fill="auto"/>
            <w:noWrap/>
            <w:vAlign w:val="bottom"/>
          </w:tcPr>
          <w:p>
            <w:pPr>
              <w:jc w:val="right"/>
              <w:rPr>
                <w:rFonts w:ascii="宋体" w:hAnsi="宋体" w:cs="宋体"/>
                <w:b/>
                <w:bCs/>
                <w:color w:val="auto"/>
                <w:sz w:val="18"/>
                <w:szCs w:val="18"/>
              </w:rPr>
            </w:pPr>
            <w:r>
              <w:rPr>
                <w:rFonts w:ascii="宋体" w:hAnsi="宋体" w:cs="宋体"/>
                <w:b/>
                <w:bCs/>
                <w:color w:val="auto"/>
                <w:kern w:val="0"/>
                <w:sz w:val="18"/>
                <w:szCs w:val="18"/>
              </w:rPr>
              <w:t xml:space="preserve">21,663,868.40 </w:t>
            </w:r>
          </w:p>
        </w:tc>
        <w:tc>
          <w:tcPr>
            <w:tcW w:w="1665" w:type="pct"/>
            <w:tcBorders>
              <w:top w:val="single" w:color="auto" w:sz="12" w:space="0"/>
              <w:left w:val="single" w:color="auto" w:sz="4" w:space="0"/>
              <w:bottom w:val="single" w:color="auto" w:sz="12" w:space="0"/>
            </w:tcBorders>
            <w:shd w:val="clear" w:color="auto" w:fill="auto"/>
            <w:noWrap/>
            <w:vAlign w:val="bottom"/>
          </w:tcPr>
          <w:p>
            <w:pPr>
              <w:jc w:val="right"/>
              <w:rPr>
                <w:rFonts w:ascii="宋体" w:hAnsi="宋体" w:cs="宋体"/>
                <w:b/>
                <w:bCs/>
                <w:color w:val="auto"/>
                <w:sz w:val="18"/>
                <w:szCs w:val="18"/>
              </w:rPr>
            </w:pPr>
            <w:r>
              <w:rPr>
                <w:rFonts w:ascii="宋体" w:hAnsi="宋体" w:cs="宋体"/>
                <w:b/>
                <w:bCs/>
                <w:color w:val="auto"/>
                <w:kern w:val="0"/>
                <w:sz w:val="18"/>
                <w:szCs w:val="18"/>
              </w:rPr>
              <w:t>34,116,462.22</w:t>
            </w:r>
          </w:p>
        </w:tc>
      </w:tr>
    </w:tbl>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③报告期末其他应付款中无欠持有本公司5%（含5%）以上表决权股份的股东单位款项。</w:t>
      </w:r>
    </w:p>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④</w:t>
      </w:r>
      <w:r>
        <w:rPr>
          <w:rFonts w:ascii="宋体" w:hAnsi="宋体" w:cs="宋体"/>
          <w:color w:val="auto"/>
          <w:kern w:val="0"/>
          <w:szCs w:val="21"/>
        </w:rPr>
        <w:t>20</w:t>
      </w:r>
      <w:r>
        <w:rPr>
          <w:rFonts w:hint="eastAsia" w:ascii="宋体" w:hAnsi="宋体" w:cs="宋体"/>
          <w:color w:val="auto"/>
          <w:kern w:val="0"/>
          <w:szCs w:val="21"/>
        </w:rPr>
        <w:t>2</w:t>
      </w:r>
      <w:r>
        <w:rPr>
          <w:rFonts w:ascii="宋体" w:hAnsi="宋体" w:cs="宋体"/>
          <w:color w:val="auto"/>
          <w:kern w:val="0"/>
          <w:szCs w:val="21"/>
        </w:rPr>
        <w:t>2年</w:t>
      </w:r>
      <w:r>
        <w:rPr>
          <w:rFonts w:hint="eastAsia" w:ascii="宋体" w:hAnsi="宋体" w:cs="宋体"/>
          <w:color w:val="auto"/>
          <w:kern w:val="0"/>
          <w:szCs w:val="21"/>
        </w:rPr>
        <w:t>12</w:t>
      </w:r>
      <w:r>
        <w:rPr>
          <w:rFonts w:ascii="宋体" w:hAnsi="宋体" w:cs="宋体"/>
          <w:color w:val="auto"/>
          <w:kern w:val="0"/>
          <w:szCs w:val="21"/>
        </w:rPr>
        <w:t>月3</w:t>
      </w:r>
      <w:r>
        <w:rPr>
          <w:rFonts w:hint="eastAsia" w:ascii="宋体" w:hAnsi="宋体" w:cs="宋体"/>
          <w:color w:val="auto"/>
          <w:kern w:val="0"/>
          <w:szCs w:val="21"/>
        </w:rPr>
        <w:t>1</w:t>
      </w:r>
      <w:r>
        <w:rPr>
          <w:rFonts w:ascii="宋体" w:hAnsi="宋体" w:cs="宋体"/>
          <w:color w:val="auto"/>
          <w:kern w:val="0"/>
          <w:szCs w:val="21"/>
        </w:rPr>
        <w:t>日</w:t>
      </w:r>
      <w:r>
        <w:rPr>
          <w:rFonts w:hint="eastAsia" w:ascii="宋体" w:hAnsi="宋体" w:cs="宋体"/>
          <w:color w:val="auto"/>
          <w:kern w:val="0"/>
          <w:szCs w:val="21"/>
        </w:rPr>
        <w:t>公司其他应付款中账龄超过</w:t>
      </w:r>
      <w:r>
        <w:rPr>
          <w:rFonts w:ascii="宋体" w:hAnsi="宋体" w:cs="宋体"/>
          <w:color w:val="auto"/>
          <w:kern w:val="0"/>
          <w:szCs w:val="21"/>
        </w:rPr>
        <w:t>1</w:t>
      </w:r>
      <w:r>
        <w:rPr>
          <w:rFonts w:hint="eastAsia" w:ascii="宋体" w:hAnsi="宋体" w:cs="宋体"/>
          <w:color w:val="auto"/>
          <w:kern w:val="0"/>
          <w:szCs w:val="21"/>
        </w:rPr>
        <w:t>年的款项主要为供应商履约保证金。</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26、其他流动负债</w:t>
      </w:r>
    </w:p>
    <w:tbl>
      <w:tblPr>
        <w:tblStyle w:val="9"/>
        <w:tblW w:w="5000" w:type="pct"/>
        <w:tblCaption w:val="&quot;\\lisheng\共享\1、伟隆2022年度审计\1、2022年度审计\1、附注及报告\2022年\附注计算-伟隆 - 2022.xlsx&quot; &quot;2022附注格式!_ReportTable_0064&quot;"/>
        <w:tblDescription w:val="A505:C507"/>
        <w:tblInd w:w="0" w:type="dxa"/>
        <w:tblLayout w:type="autofit"/>
        <w:tblCellMar>
          <w:top w:w="0" w:type="dxa"/>
          <w:left w:w="108" w:type="dxa"/>
          <w:bottom w:w="0" w:type="dxa"/>
          <w:right w:w="108" w:type="dxa"/>
        </w:tblCellMar>
      </w:tblPr>
      <w:tblGrid>
        <w:gridCol w:w="3285"/>
        <w:gridCol w:w="3285"/>
        <w:gridCol w:w="3283"/>
      </w:tblGrid>
      <w:tr>
        <w:tblPrEx>
          <w:tblCellMar>
            <w:top w:w="0" w:type="dxa"/>
            <w:left w:w="108" w:type="dxa"/>
            <w:bottom w:w="0" w:type="dxa"/>
            <w:right w:w="108" w:type="dxa"/>
          </w:tblCellMar>
        </w:tblPrEx>
        <w:trPr>
          <w:trHeight w:val="454" w:hRule="atLeast"/>
        </w:trPr>
        <w:tc>
          <w:tcPr>
            <w:tcW w:w="1667" w:type="pct"/>
            <w:tcBorders>
              <w:top w:val="single" w:color="000000" w:sz="12" w:space="0"/>
              <w:bottom w:val="single" w:color="auto" w:sz="12" w:space="0"/>
              <w:right w:val="single" w:color="auto" w:sz="4" w:space="0"/>
            </w:tcBorders>
            <w:vAlign w:val="center"/>
          </w:tcPr>
          <w:p>
            <w:pPr>
              <w:jc w:val="center"/>
              <w:rPr>
                <w:rFonts w:ascii="宋体"/>
                <w:b/>
                <w:color w:val="auto"/>
                <w:sz w:val="18"/>
                <w:szCs w:val="18"/>
              </w:rPr>
            </w:pPr>
            <w:r>
              <w:rPr>
                <w:rFonts w:hint="eastAsia" w:ascii="宋体" w:hAnsi="宋体"/>
                <w:b/>
                <w:color w:val="auto"/>
                <w:sz w:val="18"/>
                <w:szCs w:val="18"/>
              </w:rPr>
              <w:t>类</w:t>
            </w:r>
            <w:r>
              <w:rPr>
                <w:rFonts w:ascii="宋体" w:hAnsi="宋体"/>
                <w:b/>
                <w:color w:val="auto"/>
                <w:sz w:val="18"/>
                <w:szCs w:val="18"/>
              </w:rPr>
              <w:t xml:space="preserve">  别</w:t>
            </w:r>
          </w:p>
        </w:tc>
        <w:tc>
          <w:tcPr>
            <w:tcW w:w="1667" w:type="pct"/>
            <w:tcBorders>
              <w:top w:val="single" w:color="000000" w:sz="12" w:space="0"/>
              <w:left w:val="single" w:color="auto" w:sz="4" w:space="0"/>
              <w:bottom w:val="single" w:color="auto" w:sz="12" w:space="0"/>
              <w:right w:val="single" w:color="auto" w:sz="4" w:space="0"/>
            </w:tcBorders>
            <w:vAlign w:val="center"/>
          </w:tcPr>
          <w:p>
            <w:pPr>
              <w:jc w:val="center"/>
              <w:rPr>
                <w:rFonts w:ascii="宋体"/>
                <w:b/>
                <w:color w:val="auto"/>
                <w:sz w:val="18"/>
                <w:szCs w:val="18"/>
              </w:rPr>
            </w:pPr>
            <w:r>
              <w:rPr>
                <w:rFonts w:hint="eastAsia" w:ascii="宋体" w:hAnsi="宋体"/>
                <w:b/>
                <w:color w:val="auto"/>
                <w:sz w:val="18"/>
                <w:szCs w:val="18"/>
              </w:rPr>
              <w:t>期末余额</w:t>
            </w:r>
          </w:p>
        </w:tc>
        <w:tc>
          <w:tcPr>
            <w:tcW w:w="1666" w:type="pct"/>
            <w:tcBorders>
              <w:top w:val="single" w:color="000000" w:sz="12" w:space="0"/>
              <w:left w:val="single" w:color="auto" w:sz="4" w:space="0"/>
              <w:bottom w:val="single" w:color="auto" w:sz="12" w:space="0"/>
            </w:tcBorders>
            <w:vAlign w:val="center"/>
          </w:tcPr>
          <w:p>
            <w:pPr>
              <w:jc w:val="center"/>
              <w:rPr>
                <w:rFonts w:ascii="宋体"/>
                <w:b/>
                <w:color w:val="auto"/>
                <w:sz w:val="18"/>
                <w:szCs w:val="18"/>
              </w:rPr>
            </w:pPr>
            <w:r>
              <w:rPr>
                <w:rFonts w:hint="eastAsia" w:ascii="宋体" w:hAnsi="宋体"/>
                <w:b/>
                <w:color w:val="auto"/>
                <w:sz w:val="18"/>
                <w:szCs w:val="18"/>
              </w:rPr>
              <w:t>期初余额</w:t>
            </w:r>
          </w:p>
        </w:tc>
      </w:tr>
      <w:tr>
        <w:tblPrEx>
          <w:tblCellMar>
            <w:top w:w="0" w:type="dxa"/>
            <w:left w:w="108" w:type="dxa"/>
            <w:bottom w:w="0" w:type="dxa"/>
            <w:right w:w="108" w:type="dxa"/>
          </w:tblCellMar>
        </w:tblPrEx>
        <w:trPr>
          <w:trHeight w:val="454" w:hRule="atLeast"/>
        </w:trPr>
        <w:tc>
          <w:tcPr>
            <w:tcW w:w="1667" w:type="pct"/>
            <w:tcBorders>
              <w:top w:val="single" w:color="auto" w:sz="4" w:space="0"/>
              <w:bottom w:val="single" w:color="000000" w:sz="12" w:space="0"/>
              <w:right w:val="single" w:color="auto" w:sz="4" w:space="0"/>
            </w:tcBorders>
            <w:vAlign w:val="bottom"/>
          </w:tcPr>
          <w:p>
            <w:pPr>
              <w:jc w:val="left"/>
              <w:rPr>
                <w:rFonts w:ascii="宋体" w:hAnsi="宋体"/>
                <w:color w:val="auto"/>
                <w:sz w:val="18"/>
                <w:szCs w:val="18"/>
              </w:rPr>
            </w:pPr>
            <w:r>
              <w:rPr>
                <w:rFonts w:hint="eastAsia" w:ascii="宋体" w:hAnsi="宋体"/>
                <w:color w:val="auto"/>
                <w:sz w:val="18"/>
                <w:szCs w:val="18"/>
              </w:rPr>
              <w:t>待转销项税</w:t>
            </w:r>
          </w:p>
        </w:tc>
        <w:tc>
          <w:tcPr>
            <w:tcW w:w="1667" w:type="pct"/>
            <w:tcBorders>
              <w:top w:val="single" w:color="auto" w:sz="4" w:space="0"/>
              <w:left w:val="single" w:color="auto" w:sz="4" w:space="0"/>
              <w:bottom w:val="single" w:color="000000"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341,862.98</w:t>
            </w:r>
          </w:p>
        </w:tc>
        <w:tc>
          <w:tcPr>
            <w:tcW w:w="1666" w:type="pct"/>
            <w:tcBorders>
              <w:top w:val="single" w:color="auto" w:sz="4" w:space="0"/>
              <w:left w:val="single" w:color="auto" w:sz="4" w:space="0"/>
              <w:bottom w:val="single" w:color="000000" w:sz="12" w:space="0"/>
            </w:tcBorders>
            <w:vAlign w:val="bottom"/>
          </w:tcPr>
          <w:p>
            <w:pPr>
              <w:jc w:val="right"/>
              <w:rPr>
                <w:rFonts w:cs="宋体" w:asciiTheme="majorEastAsia" w:hAnsiTheme="majorEastAsia" w:eastAsiaTheme="majorEastAsia"/>
                <w:color w:val="auto"/>
                <w:sz w:val="18"/>
                <w:szCs w:val="18"/>
              </w:rPr>
            </w:pPr>
            <w:r>
              <w:rPr>
                <w:rFonts w:ascii="宋体" w:hAnsi="宋体" w:cs="宋体"/>
                <w:color w:val="auto"/>
                <w:kern w:val="0"/>
                <w:sz w:val="18"/>
                <w:szCs w:val="18"/>
              </w:rPr>
              <w:t xml:space="preserve">391,593.99 </w:t>
            </w:r>
          </w:p>
        </w:tc>
      </w:tr>
      <w:tr>
        <w:tblPrEx>
          <w:tblCellMar>
            <w:top w:w="0" w:type="dxa"/>
            <w:left w:w="108" w:type="dxa"/>
            <w:bottom w:w="0" w:type="dxa"/>
            <w:right w:w="108" w:type="dxa"/>
          </w:tblCellMar>
        </w:tblPrEx>
        <w:trPr>
          <w:trHeight w:val="454" w:hRule="atLeast"/>
        </w:trPr>
        <w:tc>
          <w:tcPr>
            <w:tcW w:w="1667" w:type="pct"/>
            <w:tcBorders>
              <w:top w:val="single" w:color="auto" w:sz="4" w:space="0"/>
              <w:bottom w:val="single" w:color="000000" w:sz="12" w:space="0"/>
              <w:right w:val="single" w:color="auto" w:sz="4" w:space="0"/>
            </w:tcBorders>
            <w:vAlign w:val="bottom"/>
          </w:tcPr>
          <w:p>
            <w:pPr>
              <w:jc w:val="center"/>
              <w:rPr>
                <w:rFonts w:ascii="宋体"/>
                <w:b/>
                <w:color w:val="auto"/>
                <w:sz w:val="18"/>
                <w:szCs w:val="18"/>
              </w:rPr>
            </w:pPr>
            <w:r>
              <w:rPr>
                <w:rFonts w:hint="eastAsia" w:ascii="宋体" w:hAnsi="宋体"/>
                <w:b/>
                <w:color w:val="auto"/>
                <w:sz w:val="18"/>
                <w:szCs w:val="18"/>
              </w:rPr>
              <w:t>合计</w:t>
            </w:r>
          </w:p>
        </w:tc>
        <w:tc>
          <w:tcPr>
            <w:tcW w:w="1667" w:type="pct"/>
            <w:tcBorders>
              <w:top w:val="single" w:color="auto" w:sz="4" w:space="0"/>
              <w:left w:val="single" w:color="auto" w:sz="4" w:space="0"/>
              <w:bottom w:val="single" w:color="000000" w:sz="12"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341,862.98</w:t>
            </w:r>
          </w:p>
        </w:tc>
        <w:tc>
          <w:tcPr>
            <w:tcW w:w="1666" w:type="pct"/>
            <w:tcBorders>
              <w:top w:val="single" w:color="auto" w:sz="4" w:space="0"/>
              <w:left w:val="single" w:color="auto" w:sz="4" w:space="0"/>
              <w:bottom w:val="single" w:color="000000" w:sz="12" w:space="0"/>
            </w:tcBorders>
            <w:vAlign w:val="bottom"/>
          </w:tcPr>
          <w:p>
            <w:pPr>
              <w:jc w:val="right"/>
              <w:rPr>
                <w:rFonts w:cs="宋体" w:asciiTheme="majorEastAsia" w:hAnsiTheme="majorEastAsia" w:eastAsiaTheme="majorEastAsia"/>
                <w:b/>
                <w:bCs/>
                <w:color w:val="auto"/>
                <w:sz w:val="18"/>
                <w:szCs w:val="18"/>
              </w:rPr>
            </w:pPr>
            <w:r>
              <w:rPr>
                <w:rFonts w:ascii="宋体" w:hAnsi="宋体" w:cs="宋体"/>
                <w:b/>
                <w:bCs/>
                <w:color w:val="auto"/>
                <w:kern w:val="0"/>
                <w:sz w:val="18"/>
                <w:szCs w:val="18"/>
              </w:rPr>
              <w:t xml:space="preserve">391,593.99 </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27、递延收益</w:t>
      </w:r>
    </w:p>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）明细项目：</w:t>
      </w:r>
    </w:p>
    <w:tbl>
      <w:tblPr>
        <w:tblStyle w:val="9"/>
        <w:tblW w:w="8931" w:type="dxa"/>
        <w:tblCaption w:val="&quot;\\lisheng\共享\1、伟隆2022年度审计\1、2022年度审计\1、附注及报告\2022年\附注计算-伟隆 - 2022.xlsx&quot; &quot;2022附注格式!_ReportTable_0065&quot;"/>
        <w:tblDescription w:val="A515:F517"/>
        <w:tblInd w:w="108" w:type="dxa"/>
        <w:tblBorders>
          <w:top w:val="single" w:color="auto" w:sz="12" w:space="0"/>
          <w:left w:val="none" w:color="auto" w:sz="0" w:space="0"/>
          <w:bottom w:val="single" w:color="auto" w:sz="12" w:space="0"/>
          <w:right w:val="none" w:color="auto" w:sz="0" w:space="0"/>
          <w:insideH w:val="single" w:color="auto" w:sz="12" w:space="0"/>
          <w:insideV w:val="single" w:color="auto" w:sz="8" w:space="0"/>
        </w:tblBorders>
        <w:tblLayout w:type="fixed"/>
        <w:tblCellMar>
          <w:top w:w="0" w:type="dxa"/>
          <w:left w:w="108" w:type="dxa"/>
          <w:bottom w:w="0" w:type="dxa"/>
          <w:right w:w="108" w:type="dxa"/>
        </w:tblCellMar>
      </w:tblPr>
      <w:tblGrid>
        <w:gridCol w:w="1418"/>
        <w:gridCol w:w="1488"/>
        <w:gridCol w:w="1488"/>
        <w:gridCol w:w="1488"/>
        <w:gridCol w:w="1489"/>
        <w:gridCol w:w="1560"/>
      </w:tblGrid>
      <w:tr>
        <w:tblPrEx>
          <w:tblBorders>
            <w:top w:val="single" w:color="auto" w:sz="12" w:space="0"/>
            <w:left w:val="none" w:color="auto" w:sz="0" w:space="0"/>
            <w:bottom w:val="single" w:color="auto" w:sz="12" w:space="0"/>
            <w:right w:val="none" w:color="auto" w:sz="0" w:space="0"/>
            <w:insideH w:val="single" w:color="auto" w:sz="12" w:space="0"/>
            <w:insideV w:val="single" w:color="auto" w:sz="8" w:space="0"/>
          </w:tblBorders>
          <w:tblCellMar>
            <w:top w:w="0" w:type="dxa"/>
            <w:left w:w="108" w:type="dxa"/>
            <w:bottom w:w="0" w:type="dxa"/>
            <w:right w:w="108" w:type="dxa"/>
          </w:tblCellMar>
        </w:tblPrEx>
        <w:trPr>
          <w:trHeight w:val="454" w:hRule="atLeast"/>
        </w:trPr>
        <w:tc>
          <w:tcPr>
            <w:tcW w:w="1418" w:type="dxa"/>
            <w:tcBorders>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w:t>
            </w:r>
            <w:r>
              <w:rPr>
                <w:rFonts w:asciiTheme="minorEastAsia" w:hAnsiTheme="minorEastAsia" w:eastAsiaTheme="minorEastAsia"/>
                <w:b/>
                <w:bCs/>
                <w:color w:val="auto"/>
                <w:sz w:val="18"/>
                <w:szCs w:val="18"/>
              </w:rPr>
              <w:t xml:space="preserve">  目</w:t>
            </w:r>
          </w:p>
        </w:tc>
        <w:tc>
          <w:tcPr>
            <w:tcW w:w="1488" w:type="dxa"/>
            <w:tcBorders>
              <w:left w:val="single" w:color="auto" w:sz="4"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期初余额</w:t>
            </w:r>
          </w:p>
        </w:tc>
        <w:tc>
          <w:tcPr>
            <w:tcW w:w="1488" w:type="dxa"/>
            <w:tcBorders>
              <w:left w:val="single" w:color="auto" w:sz="4"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本期增加</w:t>
            </w:r>
          </w:p>
        </w:tc>
        <w:tc>
          <w:tcPr>
            <w:tcW w:w="1488" w:type="dxa"/>
            <w:tcBorders>
              <w:left w:val="single" w:color="auto" w:sz="4"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本期减少</w:t>
            </w:r>
          </w:p>
        </w:tc>
        <w:tc>
          <w:tcPr>
            <w:tcW w:w="1489" w:type="dxa"/>
            <w:tcBorders>
              <w:left w:val="single" w:color="auto" w:sz="4"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期末余额</w:t>
            </w:r>
          </w:p>
        </w:tc>
        <w:tc>
          <w:tcPr>
            <w:tcW w:w="1560" w:type="dxa"/>
            <w:tcBorders>
              <w:lef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形成原因</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8" w:space="0"/>
          </w:tblBorders>
          <w:tblCellMar>
            <w:top w:w="0" w:type="dxa"/>
            <w:left w:w="108" w:type="dxa"/>
            <w:bottom w:w="0" w:type="dxa"/>
            <w:right w:w="108" w:type="dxa"/>
          </w:tblCellMar>
        </w:tblPrEx>
        <w:trPr>
          <w:trHeight w:val="454" w:hRule="atLeast"/>
        </w:trPr>
        <w:tc>
          <w:tcPr>
            <w:tcW w:w="1418" w:type="dxa"/>
            <w:tcBorders>
              <w:top w:val="single" w:color="auto" w:sz="8" w:space="0"/>
              <w:right w:val="single" w:color="auto" w:sz="4" w:space="0"/>
            </w:tcBorders>
            <w:vAlign w:val="bottom"/>
          </w:tcPr>
          <w:p>
            <w:pPr>
              <w:rPr>
                <w:rFonts w:ascii="宋体" w:cs="宋体"/>
                <w:color w:val="auto"/>
                <w:sz w:val="18"/>
                <w:szCs w:val="18"/>
              </w:rPr>
            </w:pPr>
            <w:r>
              <w:rPr>
                <w:rFonts w:hint="eastAsia" w:ascii="宋体" w:hAnsi="宋体"/>
                <w:color w:val="auto"/>
                <w:sz w:val="18"/>
                <w:szCs w:val="18"/>
              </w:rPr>
              <w:t>递延收益</w:t>
            </w:r>
          </w:p>
        </w:tc>
        <w:tc>
          <w:tcPr>
            <w:tcW w:w="1488" w:type="dxa"/>
            <w:tcBorders>
              <w:top w:val="single" w:color="auto" w:sz="8" w:space="0"/>
              <w:left w:val="single" w:color="auto" w:sz="4" w:space="0"/>
              <w:right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11,242,874.68 </w:t>
            </w:r>
          </w:p>
        </w:tc>
        <w:tc>
          <w:tcPr>
            <w:tcW w:w="1488" w:type="dxa"/>
            <w:tcBorders>
              <w:top w:val="single" w:color="auto" w:sz="8" w:space="0"/>
              <w:left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hint="eastAsia" w:ascii="宋体" w:hAnsi="宋体"/>
                <w:color w:val="auto"/>
                <w:sz w:val="18"/>
                <w:szCs w:val="18"/>
              </w:rPr>
              <w:t xml:space="preserve">146,000.00 </w:t>
            </w:r>
          </w:p>
        </w:tc>
        <w:tc>
          <w:tcPr>
            <w:tcW w:w="1488" w:type="dxa"/>
            <w:tcBorders>
              <w:top w:val="single" w:color="auto" w:sz="8" w:space="0"/>
              <w:left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hint="eastAsia" w:ascii="宋体" w:hAnsi="宋体"/>
                <w:color w:val="auto"/>
                <w:sz w:val="18"/>
                <w:szCs w:val="18"/>
              </w:rPr>
              <w:t xml:space="preserve">865,239.86 </w:t>
            </w:r>
          </w:p>
        </w:tc>
        <w:tc>
          <w:tcPr>
            <w:tcW w:w="1489" w:type="dxa"/>
            <w:tcBorders>
              <w:top w:val="single" w:color="auto" w:sz="8" w:space="0"/>
              <w:left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hint="eastAsia" w:ascii="宋体" w:hAnsi="宋体"/>
                <w:color w:val="auto"/>
                <w:sz w:val="18"/>
                <w:szCs w:val="18"/>
              </w:rPr>
              <w:t xml:space="preserve">10,523,634.82 </w:t>
            </w:r>
          </w:p>
        </w:tc>
        <w:tc>
          <w:tcPr>
            <w:tcW w:w="1560" w:type="dxa"/>
            <w:tcBorders>
              <w:top w:val="single" w:color="auto" w:sz="8" w:space="0"/>
              <w:left w:val="single" w:color="auto" w:sz="4" w:space="0"/>
            </w:tcBorders>
            <w:vAlign w:val="bottom"/>
          </w:tcPr>
          <w:p>
            <w:pPr>
              <w:jc w:val="center"/>
              <w:rPr>
                <w:rFonts w:ascii="宋体" w:hAnsi="宋体" w:cs="宋体"/>
                <w:color w:val="auto"/>
                <w:sz w:val="18"/>
                <w:szCs w:val="18"/>
              </w:rPr>
            </w:pPr>
            <w:r>
              <w:rPr>
                <w:rFonts w:hint="eastAsia" w:ascii="宋体" w:hAnsi="宋体"/>
                <w:color w:val="auto"/>
                <w:sz w:val="18"/>
                <w:szCs w:val="18"/>
              </w:rPr>
              <w:t>政府补助</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8" w:space="0"/>
          </w:tblBorders>
          <w:tblCellMar>
            <w:top w:w="0" w:type="dxa"/>
            <w:left w:w="108" w:type="dxa"/>
            <w:bottom w:w="0" w:type="dxa"/>
            <w:right w:w="108" w:type="dxa"/>
          </w:tblCellMar>
        </w:tblPrEx>
        <w:trPr>
          <w:trHeight w:val="454" w:hRule="atLeast"/>
        </w:trPr>
        <w:tc>
          <w:tcPr>
            <w:tcW w:w="1418" w:type="dxa"/>
            <w:tcBorders>
              <w:right w:val="single" w:color="auto" w:sz="4" w:space="0"/>
            </w:tcBorders>
            <w:vAlign w:val="bottom"/>
          </w:tcPr>
          <w:p>
            <w:pPr>
              <w:jc w:val="center"/>
              <w:rPr>
                <w:rFonts w:ascii="宋体" w:cs="宋体"/>
                <w:b/>
                <w:bCs/>
                <w:color w:val="auto"/>
                <w:sz w:val="18"/>
                <w:szCs w:val="18"/>
              </w:rPr>
            </w:pPr>
            <w:r>
              <w:rPr>
                <w:rFonts w:hint="eastAsia" w:ascii="宋体" w:hAnsi="宋体"/>
                <w:b/>
                <w:bCs/>
                <w:color w:val="auto"/>
                <w:sz w:val="18"/>
                <w:szCs w:val="18"/>
              </w:rPr>
              <w:t>合计</w:t>
            </w:r>
          </w:p>
        </w:tc>
        <w:tc>
          <w:tcPr>
            <w:tcW w:w="1488" w:type="dxa"/>
            <w:tcBorders>
              <w:left w:val="single" w:color="auto" w:sz="4" w:space="0"/>
              <w:right w:val="single" w:color="auto" w:sz="4" w:space="0"/>
            </w:tcBorders>
            <w:vAlign w:val="bottom"/>
          </w:tcPr>
          <w:p>
            <w:pPr>
              <w:jc w:val="right"/>
              <w:rPr>
                <w:rFonts w:ascii="宋体" w:hAnsi="宋体" w:cs="宋体"/>
                <w:b/>
                <w:bCs/>
                <w:color w:val="auto"/>
                <w:sz w:val="18"/>
                <w:szCs w:val="18"/>
              </w:rPr>
            </w:pPr>
            <w:r>
              <w:rPr>
                <w:rFonts w:hint="eastAsia" w:ascii="宋体" w:hAnsi="宋体"/>
                <w:b/>
                <w:bCs/>
                <w:color w:val="auto"/>
                <w:sz w:val="18"/>
                <w:szCs w:val="18"/>
              </w:rPr>
              <w:t xml:space="preserve">11,242,874.68 </w:t>
            </w:r>
          </w:p>
        </w:tc>
        <w:tc>
          <w:tcPr>
            <w:tcW w:w="1488" w:type="dxa"/>
            <w:tcBorders>
              <w:left w:val="single" w:color="auto" w:sz="4"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hint="eastAsia" w:ascii="宋体" w:hAnsi="宋体"/>
                <w:b/>
                <w:bCs/>
                <w:color w:val="auto"/>
                <w:sz w:val="18"/>
                <w:szCs w:val="18"/>
              </w:rPr>
              <w:t xml:space="preserve">146,000.00 </w:t>
            </w:r>
          </w:p>
        </w:tc>
        <w:tc>
          <w:tcPr>
            <w:tcW w:w="1488" w:type="dxa"/>
            <w:tcBorders>
              <w:left w:val="single" w:color="auto" w:sz="4"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hint="eastAsia" w:ascii="宋体" w:hAnsi="宋体"/>
                <w:b/>
                <w:bCs/>
                <w:color w:val="auto"/>
                <w:sz w:val="18"/>
                <w:szCs w:val="18"/>
              </w:rPr>
              <w:t xml:space="preserve">865,239.86 </w:t>
            </w:r>
          </w:p>
        </w:tc>
        <w:tc>
          <w:tcPr>
            <w:tcW w:w="1489" w:type="dxa"/>
            <w:tcBorders>
              <w:left w:val="single" w:color="auto" w:sz="4"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hint="eastAsia" w:ascii="宋体" w:hAnsi="宋体"/>
                <w:b/>
                <w:bCs/>
                <w:color w:val="auto"/>
                <w:sz w:val="18"/>
                <w:szCs w:val="18"/>
              </w:rPr>
              <w:t xml:space="preserve">10,523,634.82 </w:t>
            </w:r>
          </w:p>
        </w:tc>
        <w:tc>
          <w:tcPr>
            <w:tcW w:w="1560" w:type="dxa"/>
            <w:tcBorders>
              <w:left w:val="single" w:color="auto" w:sz="4" w:space="0"/>
            </w:tcBorders>
            <w:vAlign w:val="bottom"/>
          </w:tcPr>
          <w:p>
            <w:pPr>
              <w:jc w:val="center"/>
              <w:rPr>
                <w:rFonts w:ascii="宋体" w:hAnsi="宋体" w:cs="宋体"/>
                <w:b/>
                <w:bCs/>
                <w:color w:val="auto"/>
                <w:sz w:val="18"/>
                <w:szCs w:val="18"/>
              </w:rPr>
            </w:pPr>
          </w:p>
        </w:tc>
      </w:tr>
    </w:tbl>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（2）政府补助项目：</w:t>
      </w:r>
    </w:p>
    <w:tbl>
      <w:tblPr>
        <w:tblStyle w:val="9"/>
        <w:tblW w:w="5225" w:type="pct"/>
        <w:tblCaption w:val="&quot;\\lisheng\共享\1、伟隆2022年度审计\1、2022年度审计\1、附注及报告\2022年\附注计算-伟隆 - 2022.xlsx&quot; &quot;2022附注格式!_ReportTable_0066&quot;"/>
        <w:tblDescription w:val="A519:H524"/>
        <w:tblInd w:w="-318" w:type="dxa"/>
        <w:tblBorders>
          <w:top w:val="single" w:color="auto" w:sz="12" w:space="0"/>
          <w:left w:val="none" w:color="auto" w:sz="0" w:space="0"/>
          <w:bottom w:val="single" w:color="auto" w:sz="12" w:space="0"/>
          <w:right w:val="none" w:color="auto" w:sz="0" w:space="0"/>
          <w:insideH w:val="single" w:color="auto" w:sz="12" w:space="0"/>
          <w:insideV w:val="single" w:color="auto" w:sz="8" w:space="0"/>
        </w:tblBorders>
        <w:tblLayout w:type="fixed"/>
        <w:tblCellMar>
          <w:top w:w="0" w:type="dxa"/>
          <w:left w:w="108" w:type="dxa"/>
          <w:bottom w:w="0" w:type="dxa"/>
          <w:right w:w="108" w:type="dxa"/>
        </w:tblCellMar>
      </w:tblPr>
      <w:tblGrid>
        <w:gridCol w:w="1077"/>
        <w:gridCol w:w="1464"/>
        <w:gridCol w:w="1458"/>
        <w:gridCol w:w="1228"/>
        <w:gridCol w:w="1388"/>
        <w:gridCol w:w="1071"/>
        <w:gridCol w:w="1381"/>
        <w:gridCol w:w="1229"/>
      </w:tblGrid>
      <w:tr>
        <w:tblPrEx>
          <w:tblBorders>
            <w:top w:val="single" w:color="auto" w:sz="12" w:space="0"/>
            <w:left w:val="none" w:color="auto" w:sz="0" w:space="0"/>
            <w:bottom w:val="single" w:color="auto" w:sz="12" w:space="0"/>
            <w:right w:val="none" w:color="auto" w:sz="0" w:space="0"/>
            <w:insideH w:val="single" w:color="auto" w:sz="12" w:space="0"/>
            <w:insideV w:val="single" w:color="auto" w:sz="8" w:space="0"/>
          </w:tblBorders>
          <w:tblCellMar>
            <w:top w:w="0" w:type="dxa"/>
            <w:left w:w="108" w:type="dxa"/>
            <w:bottom w:w="0" w:type="dxa"/>
            <w:right w:w="108" w:type="dxa"/>
          </w:tblCellMar>
        </w:tblPrEx>
        <w:trPr>
          <w:trHeight w:val="510" w:hRule="atLeast"/>
        </w:trPr>
        <w:tc>
          <w:tcPr>
            <w:tcW w:w="993" w:type="dxa"/>
            <w:tcBorders>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w:t>
            </w:r>
            <w:r>
              <w:rPr>
                <w:rFonts w:asciiTheme="minorEastAsia" w:hAnsiTheme="minorEastAsia" w:eastAsiaTheme="minorEastAsia"/>
                <w:b/>
                <w:bCs/>
                <w:color w:val="auto"/>
                <w:sz w:val="18"/>
                <w:szCs w:val="18"/>
              </w:rPr>
              <w:t xml:space="preserve">  目</w:t>
            </w:r>
          </w:p>
        </w:tc>
        <w:tc>
          <w:tcPr>
            <w:tcW w:w="1350" w:type="dxa"/>
            <w:tcBorders>
              <w:left w:val="single" w:color="auto" w:sz="4"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初始金额</w:t>
            </w:r>
          </w:p>
        </w:tc>
        <w:tc>
          <w:tcPr>
            <w:tcW w:w="1345" w:type="dxa"/>
            <w:tcBorders>
              <w:left w:val="single" w:color="auto" w:sz="4"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期初余额</w:t>
            </w:r>
          </w:p>
        </w:tc>
        <w:tc>
          <w:tcPr>
            <w:tcW w:w="1133" w:type="dxa"/>
            <w:tcBorders>
              <w:left w:val="single" w:color="auto" w:sz="4"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本期新增补助金额</w:t>
            </w:r>
          </w:p>
        </w:tc>
        <w:tc>
          <w:tcPr>
            <w:tcW w:w="1280" w:type="dxa"/>
            <w:tcBorders>
              <w:left w:val="single" w:color="auto" w:sz="4"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本期计入当期损益金额</w:t>
            </w:r>
          </w:p>
        </w:tc>
        <w:tc>
          <w:tcPr>
            <w:tcW w:w="988" w:type="dxa"/>
            <w:tcBorders>
              <w:left w:val="single" w:color="auto" w:sz="4"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其他变动</w:t>
            </w:r>
          </w:p>
        </w:tc>
        <w:tc>
          <w:tcPr>
            <w:tcW w:w="1274" w:type="dxa"/>
            <w:tcBorders>
              <w:left w:val="single" w:color="auto" w:sz="4"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期末余额</w:t>
            </w:r>
          </w:p>
        </w:tc>
        <w:tc>
          <w:tcPr>
            <w:tcW w:w="1134" w:type="dxa"/>
            <w:tcBorders>
              <w:left w:val="single" w:color="auto" w:sz="4"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与资产相关</w:t>
            </w:r>
            <w:r>
              <w:rPr>
                <w:rFonts w:asciiTheme="minorEastAsia" w:hAnsiTheme="minorEastAsia" w:eastAsiaTheme="minorEastAsia"/>
                <w:b/>
                <w:bCs/>
                <w:color w:val="auto"/>
                <w:sz w:val="18"/>
                <w:szCs w:val="18"/>
              </w:rPr>
              <w:t>/与收益相关</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8" w:space="0"/>
          </w:tblBorders>
          <w:tblCellMar>
            <w:top w:w="0" w:type="dxa"/>
            <w:left w:w="108" w:type="dxa"/>
            <w:bottom w:w="0" w:type="dxa"/>
            <w:right w:w="108" w:type="dxa"/>
          </w:tblCellMar>
        </w:tblPrEx>
        <w:trPr>
          <w:trHeight w:val="510" w:hRule="atLeast"/>
        </w:trPr>
        <w:tc>
          <w:tcPr>
            <w:tcW w:w="993" w:type="dxa"/>
            <w:tcBorders>
              <w:top w:val="single" w:color="auto" w:sz="12" w:space="0"/>
              <w:bottom w:val="single" w:color="auto" w:sz="4" w:space="0"/>
              <w:right w:val="single" w:color="auto" w:sz="4" w:space="0"/>
            </w:tcBorders>
            <w:vAlign w:val="bottom"/>
          </w:tcPr>
          <w:p>
            <w:pPr>
              <w:rPr>
                <w:rFonts w:ascii="宋体" w:hAnsi="宋体" w:cs="宋体"/>
                <w:color w:val="auto"/>
                <w:sz w:val="15"/>
                <w:szCs w:val="15"/>
              </w:rPr>
            </w:pPr>
            <w:r>
              <w:rPr>
                <w:rFonts w:hint="eastAsia"/>
                <w:color w:val="auto"/>
                <w:sz w:val="15"/>
                <w:szCs w:val="15"/>
              </w:rPr>
              <w:t>基础设施建设补助</w:t>
            </w:r>
          </w:p>
        </w:tc>
        <w:tc>
          <w:tcPr>
            <w:tcW w:w="1350" w:type="dxa"/>
            <w:tcBorders>
              <w:top w:val="single" w:color="auto" w:sz="8"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 xml:space="preserve">8,000,000.00 </w:t>
            </w:r>
          </w:p>
        </w:tc>
        <w:tc>
          <w:tcPr>
            <w:tcW w:w="1345" w:type="dxa"/>
            <w:tcBorders>
              <w:top w:val="single" w:color="auto" w:sz="8" w:space="0"/>
              <w:left w:val="single" w:color="auto" w:sz="4" w:space="0"/>
              <w:bottom w:val="single" w:color="auto" w:sz="4" w:space="0"/>
              <w:right w:val="single" w:color="auto" w:sz="4" w:space="0"/>
            </w:tcBorders>
            <w:vAlign w:val="bottom"/>
          </w:tcPr>
          <w:p>
            <w:pPr>
              <w:jc w:val="right"/>
              <w:rPr>
                <w:rFonts w:cs="宋体" w:asciiTheme="majorEastAsia" w:hAnsiTheme="majorEastAsia" w:eastAsiaTheme="majorEastAsia"/>
                <w:color w:val="auto"/>
                <w:sz w:val="15"/>
                <w:szCs w:val="15"/>
              </w:rPr>
            </w:pPr>
            <w:r>
              <w:rPr>
                <w:rFonts w:asciiTheme="majorEastAsia" w:hAnsiTheme="majorEastAsia" w:eastAsiaTheme="majorEastAsia"/>
                <w:color w:val="auto"/>
                <w:sz w:val="15"/>
                <w:szCs w:val="15"/>
              </w:rPr>
              <w:t>6,812,540.87</w:t>
            </w:r>
          </w:p>
        </w:tc>
        <w:tc>
          <w:tcPr>
            <w:tcW w:w="1133" w:type="dxa"/>
            <w:tcBorders>
              <w:top w:val="single" w:color="auto" w:sz="8" w:space="0"/>
              <w:left w:val="single" w:color="auto" w:sz="4" w:space="0"/>
              <w:bottom w:val="single" w:color="auto" w:sz="4" w:space="0"/>
              <w:right w:val="single" w:color="auto" w:sz="4" w:space="0"/>
            </w:tcBorders>
            <w:vAlign w:val="bottom"/>
          </w:tcPr>
          <w:p>
            <w:pPr>
              <w:jc w:val="right"/>
              <w:rPr>
                <w:rFonts w:asciiTheme="majorEastAsia" w:hAnsiTheme="majorEastAsia" w:eastAsiaTheme="majorEastAsia"/>
                <w:color w:val="auto"/>
                <w:sz w:val="15"/>
                <w:szCs w:val="15"/>
              </w:rPr>
            </w:pPr>
          </w:p>
        </w:tc>
        <w:tc>
          <w:tcPr>
            <w:tcW w:w="1280" w:type="dxa"/>
            <w:tcBorders>
              <w:top w:val="single" w:color="auto" w:sz="8" w:space="0"/>
              <w:left w:val="single" w:color="auto" w:sz="4" w:space="0"/>
              <w:bottom w:val="single" w:color="auto" w:sz="4" w:space="0"/>
              <w:right w:val="single" w:color="auto" w:sz="4" w:space="0"/>
            </w:tcBorders>
            <w:vAlign w:val="bottom"/>
          </w:tcPr>
          <w:p>
            <w:pPr>
              <w:jc w:val="right"/>
              <w:rPr>
                <w:rFonts w:asciiTheme="majorEastAsia" w:hAnsiTheme="majorEastAsia" w:eastAsiaTheme="majorEastAsia"/>
                <w:color w:val="auto"/>
                <w:sz w:val="15"/>
                <w:szCs w:val="15"/>
              </w:rPr>
            </w:pPr>
            <w:r>
              <w:rPr>
                <w:rFonts w:asciiTheme="majorEastAsia" w:hAnsiTheme="majorEastAsia" w:eastAsiaTheme="majorEastAsia"/>
                <w:color w:val="auto"/>
                <w:sz w:val="15"/>
                <w:szCs w:val="15"/>
              </w:rPr>
              <w:t>169,959.48</w:t>
            </w:r>
          </w:p>
        </w:tc>
        <w:tc>
          <w:tcPr>
            <w:tcW w:w="988" w:type="dxa"/>
            <w:tcBorders>
              <w:top w:val="single" w:color="auto" w:sz="8" w:space="0"/>
              <w:left w:val="single" w:color="auto" w:sz="4" w:space="0"/>
              <w:bottom w:val="single" w:color="auto" w:sz="4" w:space="0"/>
              <w:right w:val="single" w:color="auto" w:sz="4" w:space="0"/>
            </w:tcBorders>
            <w:vAlign w:val="bottom"/>
          </w:tcPr>
          <w:p>
            <w:pPr>
              <w:jc w:val="right"/>
              <w:rPr>
                <w:rFonts w:asciiTheme="majorEastAsia" w:hAnsiTheme="majorEastAsia" w:eastAsiaTheme="majorEastAsia"/>
                <w:color w:val="auto"/>
                <w:sz w:val="15"/>
                <w:szCs w:val="15"/>
              </w:rPr>
            </w:pPr>
          </w:p>
        </w:tc>
        <w:tc>
          <w:tcPr>
            <w:tcW w:w="1274" w:type="dxa"/>
            <w:tcBorders>
              <w:top w:val="single" w:color="auto" w:sz="8" w:space="0"/>
              <w:left w:val="single" w:color="auto" w:sz="4" w:space="0"/>
              <w:bottom w:val="single" w:color="auto" w:sz="4" w:space="0"/>
              <w:right w:val="single" w:color="auto" w:sz="4" w:space="0"/>
            </w:tcBorders>
            <w:vAlign w:val="bottom"/>
          </w:tcPr>
          <w:p>
            <w:pPr>
              <w:jc w:val="right"/>
              <w:rPr>
                <w:rFonts w:asciiTheme="majorEastAsia" w:hAnsiTheme="majorEastAsia" w:eastAsiaTheme="majorEastAsia"/>
                <w:color w:val="auto"/>
                <w:sz w:val="15"/>
                <w:szCs w:val="15"/>
              </w:rPr>
            </w:pPr>
            <w:r>
              <w:rPr>
                <w:rFonts w:asciiTheme="majorEastAsia" w:hAnsiTheme="majorEastAsia" w:eastAsiaTheme="majorEastAsia"/>
                <w:color w:val="auto"/>
                <w:sz w:val="15"/>
                <w:szCs w:val="15"/>
              </w:rPr>
              <w:t>6,642,581.39</w:t>
            </w:r>
          </w:p>
        </w:tc>
        <w:tc>
          <w:tcPr>
            <w:tcW w:w="1134" w:type="dxa"/>
            <w:tcBorders>
              <w:top w:val="single" w:color="auto" w:sz="8" w:space="0"/>
              <w:left w:val="single" w:color="auto" w:sz="4" w:space="0"/>
              <w:bottom w:val="single" w:color="auto" w:sz="4" w:space="0"/>
            </w:tcBorders>
            <w:vAlign w:val="bottom"/>
          </w:tcPr>
          <w:p>
            <w:pPr>
              <w:jc w:val="center"/>
              <w:rPr>
                <w:rFonts w:cs="宋体" w:asciiTheme="majorEastAsia" w:hAnsiTheme="majorEastAsia" w:eastAsiaTheme="majorEastAsia"/>
                <w:color w:val="auto"/>
                <w:sz w:val="15"/>
                <w:szCs w:val="15"/>
              </w:rPr>
            </w:pPr>
            <w:r>
              <w:rPr>
                <w:rFonts w:hint="eastAsia" w:asciiTheme="majorEastAsia" w:hAnsiTheme="majorEastAsia" w:eastAsiaTheme="majorEastAsia"/>
                <w:color w:val="auto"/>
                <w:sz w:val="15"/>
                <w:szCs w:val="15"/>
              </w:rPr>
              <w:t>与资产相关</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8" w:space="0"/>
          </w:tblBorders>
          <w:tblCellMar>
            <w:top w:w="0" w:type="dxa"/>
            <w:left w:w="108" w:type="dxa"/>
            <w:bottom w:w="0" w:type="dxa"/>
            <w:right w:w="108" w:type="dxa"/>
          </w:tblCellMar>
        </w:tblPrEx>
        <w:trPr>
          <w:trHeight w:val="510" w:hRule="atLeast"/>
        </w:trPr>
        <w:tc>
          <w:tcPr>
            <w:tcW w:w="993" w:type="dxa"/>
            <w:tcBorders>
              <w:top w:val="single" w:color="auto" w:sz="4" w:space="0"/>
              <w:bottom w:val="single" w:color="auto" w:sz="4" w:space="0"/>
              <w:right w:val="single" w:color="auto" w:sz="4" w:space="0"/>
            </w:tcBorders>
            <w:vAlign w:val="bottom"/>
          </w:tcPr>
          <w:p>
            <w:pPr>
              <w:rPr>
                <w:rFonts w:ascii="宋体" w:hAnsi="宋体" w:cs="宋体"/>
                <w:color w:val="auto"/>
                <w:sz w:val="15"/>
                <w:szCs w:val="15"/>
              </w:rPr>
            </w:pPr>
            <w:r>
              <w:rPr>
                <w:rFonts w:hint="eastAsia"/>
                <w:color w:val="auto"/>
                <w:sz w:val="15"/>
                <w:szCs w:val="15"/>
              </w:rPr>
              <w:t>年</w:t>
            </w:r>
            <w:r>
              <w:rPr>
                <w:rFonts w:hint="eastAsia" w:asciiTheme="minorEastAsia" w:hAnsiTheme="minorEastAsia" w:eastAsiaTheme="minorEastAsia"/>
                <w:color w:val="auto"/>
                <w:sz w:val="15"/>
                <w:szCs w:val="15"/>
              </w:rPr>
              <w:t>产45</w:t>
            </w:r>
            <w:r>
              <w:rPr>
                <w:rFonts w:hint="eastAsia"/>
                <w:color w:val="auto"/>
                <w:sz w:val="15"/>
                <w:szCs w:val="15"/>
              </w:rPr>
              <w:t>万支新型阀门制造建设项目</w:t>
            </w:r>
          </w:p>
        </w:tc>
        <w:tc>
          <w:tcPr>
            <w:tcW w:w="1350"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 xml:space="preserve">1,658,000.00 </w:t>
            </w:r>
          </w:p>
        </w:tc>
        <w:tc>
          <w:tcPr>
            <w:tcW w:w="1345"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ajorEastAsia" w:hAnsiTheme="majorEastAsia" w:eastAsiaTheme="majorEastAsia"/>
                <w:color w:val="auto"/>
                <w:sz w:val="15"/>
                <w:szCs w:val="15"/>
              </w:rPr>
            </w:pPr>
            <w:r>
              <w:rPr>
                <w:rFonts w:asciiTheme="majorEastAsia" w:hAnsiTheme="majorEastAsia" w:eastAsiaTheme="majorEastAsia"/>
                <w:color w:val="auto"/>
                <w:sz w:val="15"/>
                <w:szCs w:val="15"/>
              </w:rPr>
              <w:t>1,306,728.75</w:t>
            </w:r>
          </w:p>
        </w:tc>
        <w:tc>
          <w:tcPr>
            <w:tcW w:w="1133" w:type="dxa"/>
            <w:tcBorders>
              <w:top w:val="single" w:color="auto" w:sz="4" w:space="0"/>
              <w:left w:val="single" w:color="auto" w:sz="4" w:space="0"/>
              <w:bottom w:val="single" w:color="auto" w:sz="4" w:space="0"/>
              <w:right w:val="single" w:color="auto" w:sz="4" w:space="0"/>
            </w:tcBorders>
            <w:vAlign w:val="bottom"/>
          </w:tcPr>
          <w:p>
            <w:pPr>
              <w:jc w:val="right"/>
              <w:rPr>
                <w:rFonts w:asciiTheme="majorEastAsia" w:hAnsiTheme="majorEastAsia" w:eastAsiaTheme="majorEastAsia"/>
                <w:color w:val="auto"/>
                <w:sz w:val="15"/>
                <w:szCs w:val="15"/>
              </w:rPr>
            </w:pPr>
          </w:p>
        </w:tc>
        <w:tc>
          <w:tcPr>
            <w:tcW w:w="1280" w:type="dxa"/>
            <w:tcBorders>
              <w:top w:val="single" w:color="auto" w:sz="4" w:space="0"/>
              <w:left w:val="single" w:color="auto" w:sz="4" w:space="0"/>
              <w:bottom w:val="single" w:color="auto" w:sz="4" w:space="0"/>
              <w:right w:val="single" w:color="auto" w:sz="4" w:space="0"/>
            </w:tcBorders>
            <w:vAlign w:val="bottom"/>
          </w:tcPr>
          <w:p>
            <w:pPr>
              <w:jc w:val="right"/>
              <w:rPr>
                <w:rFonts w:asciiTheme="majorEastAsia" w:hAnsiTheme="majorEastAsia" w:eastAsiaTheme="majorEastAsia"/>
                <w:color w:val="auto"/>
                <w:sz w:val="15"/>
                <w:szCs w:val="15"/>
              </w:rPr>
            </w:pPr>
            <w:r>
              <w:rPr>
                <w:rFonts w:asciiTheme="majorEastAsia" w:hAnsiTheme="majorEastAsia" w:eastAsiaTheme="majorEastAsia"/>
                <w:color w:val="auto"/>
                <w:sz w:val="15"/>
                <w:szCs w:val="15"/>
              </w:rPr>
              <w:t>168,610.20</w:t>
            </w:r>
          </w:p>
        </w:tc>
        <w:tc>
          <w:tcPr>
            <w:tcW w:w="988" w:type="dxa"/>
            <w:tcBorders>
              <w:top w:val="single" w:color="auto" w:sz="4" w:space="0"/>
              <w:left w:val="single" w:color="auto" w:sz="4" w:space="0"/>
              <w:bottom w:val="single" w:color="auto" w:sz="4" w:space="0"/>
              <w:right w:val="single" w:color="auto" w:sz="4" w:space="0"/>
            </w:tcBorders>
            <w:vAlign w:val="bottom"/>
          </w:tcPr>
          <w:p>
            <w:pPr>
              <w:jc w:val="right"/>
              <w:rPr>
                <w:rFonts w:asciiTheme="majorEastAsia" w:hAnsiTheme="majorEastAsia" w:eastAsiaTheme="majorEastAsia"/>
                <w:color w:val="auto"/>
                <w:sz w:val="15"/>
                <w:szCs w:val="15"/>
              </w:rPr>
            </w:pPr>
          </w:p>
        </w:tc>
        <w:tc>
          <w:tcPr>
            <w:tcW w:w="1274" w:type="dxa"/>
            <w:tcBorders>
              <w:top w:val="single" w:color="auto" w:sz="4" w:space="0"/>
              <w:left w:val="single" w:color="auto" w:sz="4" w:space="0"/>
              <w:bottom w:val="single" w:color="auto" w:sz="4" w:space="0"/>
              <w:right w:val="single" w:color="auto" w:sz="4" w:space="0"/>
            </w:tcBorders>
            <w:vAlign w:val="bottom"/>
          </w:tcPr>
          <w:p>
            <w:pPr>
              <w:jc w:val="right"/>
              <w:rPr>
                <w:rFonts w:asciiTheme="majorEastAsia" w:hAnsiTheme="majorEastAsia" w:eastAsiaTheme="majorEastAsia"/>
                <w:color w:val="auto"/>
                <w:sz w:val="15"/>
                <w:szCs w:val="15"/>
              </w:rPr>
            </w:pPr>
            <w:r>
              <w:rPr>
                <w:rFonts w:asciiTheme="majorEastAsia" w:hAnsiTheme="majorEastAsia" w:eastAsiaTheme="majorEastAsia"/>
                <w:color w:val="auto"/>
                <w:sz w:val="15"/>
                <w:szCs w:val="15"/>
              </w:rPr>
              <w:t>1,138,118.55</w:t>
            </w:r>
          </w:p>
        </w:tc>
        <w:tc>
          <w:tcPr>
            <w:tcW w:w="1134" w:type="dxa"/>
            <w:tcBorders>
              <w:top w:val="single" w:color="auto" w:sz="4" w:space="0"/>
              <w:left w:val="single" w:color="auto" w:sz="4" w:space="0"/>
              <w:bottom w:val="single" w:color="auto" w:sz="4" w:space="0"/>
            </w:tcBorders>
            <w:vAlign w:val="bottom"/>
          </w:tcPr>
          <w:p>
            <w:pPr>
              <w:jc w:val="center"/>
              <w:rPr>
                <w:rFonts w:asciiTheme="majorEastAsia" w:hAnsiTheme="majorEastAsia" w:eastAsiaTheme="majorEastAsia"/>
                <w:color w:val="auto"/>
                <w:sz w:val="15"/>
                <w:szCs w:val="15"/>
              </w:rPr>
            </w:pPr>
            <w:r>
              <w:rPr>
                <w:rFonts w:hint="eastAsia" w:asciiTheme="majorEastAsia" w:hAnsiTheme="majorEastAsia" w:eastAsiaTheme="majorEastAsia"/>
                <w:color w:val="auto"/>
                <w:sz w:val="15"/>
                <w:szCs w:val="15"/>
              </w:rPr>
              <w:t>与资产相关</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8" w:space="0"/>
          </w:tblBorders>
          <w:tblCellMar>
            <w:top w:w="0" w:type="dxa"/>
            <w:left w:w="108" w:type="dxa"/>
            <w:bottom w:w="0" w:type="dxa"/>
            <w:right w:w="108" w:type="dxa"/>
          </w:tblCellMar>
        </w:tblPrEx>
        <w:trPr>
          <w:trHeight w:val="510" w:hRule="atLeast"/>
        </w:trPr>
        <w:tc>
          <w:tcPr>
            <w:tcW w:w="993" w:type="dxa"/>
            <w:tcBorders>
              <w:top w:val="single" w:color="auto" w:sz="4" w:space="0"/>
              <w:bottom w:val="single" w:color="auto" w:sz="4" w:space="0"/>
              <w:right w:val="single" w:color="auto" w:sz="4" w:space="0"/>
            </w:tcBorders>
            <w:vAlign w:val="bottom"/>
          </w:tcPr>
          <w:p>
            <w:pPr>
              <w:rPr>
                <w:color w:val="auto"/>
                <w:sz w:val="15"/>
                <w:szCs w:val="15"/>
              </w:rPr>
            </w:pPr>
            <w:r>
              <w:rPr>
                <w:rFonts w:hint="eastAsia"/>
                <w:color w:val="auto"/>
                <w:sz w:val="15"/>
                <w:szCs w:val="15"/>
              </w:rPr>
              <w:t>企业技术改造综合奖</w:t>
            </w:r>
          </w:p>
        </w:tc>
        <w:tc>
          <w:tcPr>
            <w:tcW w:w="1350" w:type="dxa"/>
            <w:tcBorders>
              <w:top w:val="single" w:color="auto" w:sz="4" w:space="0"/>
              <w:left w:val="single" w:color="auto" w:sz="4" w:space="0"/>
              <w:bottom w:val="single" w:color="auto" w:sz="4" w:space="0"/>
              <w:right w:val="single" w:color="auto" w:sz="4" w:space="0"/>
            </w:tcBorders>
            <w:vAlign w:val="bottom"/>
          </w:tcPr>
          <w:p>
            <w:pPr>
              <w:jc w:val="right"/>
              <w:rPr>
                <w:rFonts w:asciiTheme="minorEastAsia" w:hAnsiTheme="minorEastAsia" w:eastAsiaTheme="minorEastAsia"/>
                <w:color w:val="auto"/>
                <w:sz w:val="15"/>
                <w:szCs w:val="15"/>
              </w:rPr>
            </w:pPr>
            <w:r>
              <w:rPr>
                <w:rFonts w:asciiTheme="minorEastAsia" w:hAnsiTheme="minorEastAsia" w:eastAsiaTheme="minorEastAsia"/>
                <w:color w:val="auto"/>
                <w:sz w:val="15"/>
                <w:szCs w:val="15"/>
              </w:rPr>
              <w:t>3,830,000.00</w:t>
            </w:r>
          </w:p>
        </w:tc>
        <w:tc>
          <w:tcPr>
            <w:tcW w:w="1345" w:type="dxa"/>
            <w:tcBorders>
              <w:top w:val="single" w:color="auto" w:sz="4" w:space="0"/>
              <w:left w:val="single" w:color="auto" w:sz="4" w:space="0"/>
              <w:bottom w:val="single" w:color="auto" w:sz="4" w:space="0"/>
              <w:right w:val="single" w:color="auto" w:sz="4" w:space="0"/>
            </w:tcBorders>
            <w:vAlign w:val="bottom"/>
          </w:tcPr>
          <w:p>
            <w:pPr>
              <w:jc w:val="right"/>
              <w:rPr>
                <w:rFonts w:asciiTheme="majorEastAsia" w:hAnsiTheme="majorEastAsia" w:eastAsiaTheme="majorEastAsia"/>
                <w:color w:val="auto"/>
                <w:sz w:val="15"/>
                <w:szCs w:val="15"/>
              </w:rPr>
            </w:pPr>
            <w:r>
              <w:rPr>
                <w:rFonts w:asciiTheme="majorEastAsia" w:hAnsiTheme="majorEastAsia" w:eastAsiaTheme="majorEastAsia"/>
                <w:color w:val="auto"/>
                <w:sz w:val="15"/>
                <w:szCs w:val="15"/>
              </w:rPr>
              <w:t>3,123,605.06</w:t>
            </w:r>
          </w:p>
        </w:tc>
        <w:tc>
          <w:tcPr>
            <w:tcW w:w="1133" w:type="dxa"/>
            <w:tcBorders>
              <w:top w:val="single" w:color="auto" w:sz="4" w:space="0"/>
              <w:left w:val="single" w:color="auto" w:sz="4" w:space="0"/>
              <w:bottom w:val="single" w:color="auto" w:sz="4" w:space="0"/>
              <w:right w:val="single" w:color="auto" w:sz="4" w:space="0"/>
            </w:tcBorders>
            <w:vAlign w:val="bottom"/>
          </w:tcPr>
          <w:p>
            <w:pPr>
              <w:jc w:val="right"/>
              <w:rPr>
                <w:rFonts w:asciiTheme="majorEastAsia" w:hAnsiTheme="majorEastAsia" w:eastAsiaTheme="majorEastAsia"/>
                <w:color w:val="auto"/>
                <w:sz w:val="15"/>
                <w:szCs w:val="15"/>
              </w:rPr>
            </w:pPr>
          </w:p>
        </w:tc>
        <w:tc>
          <w:tcPr>
            <w:tcW w:w="1280"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olor w:val="auto"/>
                <w:sz w:val="15"/>
                <w:szCs w:val="15"/>
              </w:rPr>
            </w:pPr>
            <w:r>
              <w:rPr>
                <w:rFonts w:ascii="宋体" w:hAnsi="宋体"/>
                <w:color w:val="auto"/>
                <w:sz w:val="15"/>
                <w:szCs w:val="15"/>
              </w:rPr>
              <w:t>516,424.57</w:t>
            </w:r>
          </w:p>
        </w:tc>
        <w:tc>
          <w:tcPr>
            <w:tcW w:w="988" w:type="dxa"/>
            <w:tcBorders>
              <w:top w:val="single" w:color="auto" w:sz="4" w:space="0"/>
              <w:left w:val="single" w:color="auto" w:sz="4" w:space="0"/>
              <w:bottom w:val="single" w:color="auto" w:sz="4" w:space="0"/>
              <w:right w:val="single" w:color="auto" w:sz="4" w:space="0"/>
            </w:tcBorders>
            <w:vAlign w:val="bottom"/>
          </w:tcPr>
          <w:p>
            <w:pPr>
              <w:jc w:val="right"/>
              <w:rPr>
                <w:rFonts w:asciiTheme="majorEastAsia" w:hAnsiTheme="majorEastAsia" w:eastAsiaTheme="majorEastAsia"/>
                <w:color w:val="auto"/>
                <w:sz w:val="15"/>
                <w:szCs w:val="15"/>
              </w:rPr>
            </w:pPr>
          </w:p>
        </w:tc>
        <w:tc>
          <w:tcPr>
            <w:tcW w:w="1274" w:type="dxa"/>
            <w:tcBorders>
              <w:top w:val="single" w:color="auto" w:sz="4" w:space="0"/>
              <w:left w:val="single" w:color="auto" w:sz="4" w:space="0"/>
              <w:bottom w:val="single" w:color="auto" w:sz="4" w:space="0"/>
              <w:right w:val="single" w:color="auto" w:sz="4" w:space="0"/>
            </w:tcBorders>
            <w:vAlign w:val="bottom"/>
          </w:tcPr>
          <w:p>
            <w:pPr>
              <w:jc w:val="right"/>
              <w:rPr>
                <w:rFonts w:asciiTheme="majorEastAsia" w:hAnsiTheme="majorEastAsia" w:eastAsiaTheme="majorEastAsia"/>
                <w:color w:val="auto"/>
                <w:sz w:val="15"/>
                <w:szCs w:val="15"/>
              </w:rPr>
            </w:pPr>
            <w:r>
              <w:rPr>
                <w:rFonts w:asciiTheme="majorEastAsia" w:hAnsiTheme="majorEastAsia" w:eastAsiaTheme="majorEastAsia"/>
                <w:color w:val="auto"/>
                <w:sz w:val="15"/>
                <w:szCs w:val="15"/>
              </w:rPr>
              <w:t>2,607,180.49</w:t>
            </w:r>
          </w:p>
        </w:tc>
        <w:tc>
          <w:tcPr>
            <w:tcW w:w="1134" w:type="dxa"/>
            <w:tcBorders>
              <w:top w:val="single" w:color="auto" w:sz="4" w:space="0"/>
              <w:left w:val="single" w:color="auto" w:sz="4" w:space="0"/>
              <w:bottom w:val="single" w:color="auto" w:sz="4" w:space="0"/>
            </w:tcBorders>
            <w:vAlign w:val="bottom"/>
          </w:tcPr>
          <w:p>
            <w:pPr>
              <w:jc w:val="center"/>
              <w:rPr>
                <w:rFonts w:asciiTheme="majorEastAsia" w:hAnsiTheme="majorEastAsia" w:eastAsiaTheme="majorEastAsia"/>
                <w:color w:val="auto"/>
                <w:sz w:val="15"/>
                <w:szCs w:val="15"/>
              </w:rPr>
            </w:pPr>
            <w:r>
              <w:rPr>
                <w:rFonts w:hint="eastAsia" w:asciiTheme="majorEastAsia" w:hAnsiTheme="majorEastAsia" w:eastAsiaTheme="majorEastAsia"/>
                <w:color w:val="auto"/>
                <w:sz w:val="15"/>
                <w:szCs w:val="15"/>
              </w:rPr>
              <w:t>与资产相关</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8" w:space="0"/>
          </w:tblBorders>
          <w:tblCellMar>
            <w:top w:w="0" w:type="dxa"/>
            <w:left w:w="108" w:type="dxa"/>
            <w:bottom w:w="0" w:type="dxa"/>
            <w:right w:w="108" w:type="dxa"/>
          </w:tblCellMar>
        </w:tblPrEx>
        <w:trPr>
          <w:trHeight w:val="510" w:hRule="atLeast"/>
        </w:trPr>
        <w:tc>
          <w:tcPr>
            <w:tcW w:w="993" w:type="dxa"/>
            <w:tcBorders>
              <w:top w:val="single" w:color="auto" w:sz="4" w:space="0"/>
              <w:bottom w:val="single" w:color="auto" w:sz="4" w:space="0"/>
              <w:right w:val="single" w:color="auto" w:sz="4" w:space="0"/>
            </w:tcBorders>
            <w:vAlign w:val="bottom"/>
          </w:tcPr>
          <w:p>
            <w:pPr>
              <w:rPr>
                <w:color w:val="auto"/>
                <w:sz w:val="15"/>
                <w:szCs w:val="15"/>
              </w:rPr>
            </w:pPr>
            <w:r>
              <w:rPr>
                <w:rFonts w:hint="eastAsia"/>
                <w:color w:val="auto"/>
                <w:sz w:val="15"/>
                <w:szCs w:val="15"/>
              </w:rPr>
              <w:t>机加工车间智能化升级改造项目</w:t>
            </w:r>
          </w:p>
        </w:tc>
        <w:tc>
          <w:tcPr>
            <w:tcW w:w="1350"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olor w:val="auto"/>
                <w:sz w:val="15"/>
                <w:szCs w:val="15"/>
              </w:rPr>
            </w:pPr>
            <w:r>
              <w:rPr>
                <w:rFonts w:hint="eastAsia" w:ascii="宋体" w:hAnsi="宋体"/>
                <w:color w:val="auto"/>
                <w:sz w:val="15"/>
                <w:szCs w:val="15"/>
              </w:rPr>
              <w:t>146,000.00</w:t>
            </w:r>
          </w:p>
        </w:tc>
        <w:tc>
          <w:tcPr>
            <w:tcW w:w="1345"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olor w:val="auto"/>
                <w:sz w:val="15"/>
                <w:szCs w:val="15"/>
              </w:rPr>
            </w:pPr>
          </w:p>
        </w:tc>
        <w:tc>
          <w:tcPr>
            <w:tcW w:w="1133"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olor w:val="auto"/>
                <w:sz w:val="15"/>
                <w:szCs w:val="15"/>
              </w:rPr>
            </w:pPr>
            <w:r>
              <w:rPr>
                <w:rFonts w:hint="eastAsia" w:ascii="宋体" w:hAnsi="宋体"/>
                <w:color w:val="auto"/>
                <w:sz w:val="15"/>
                <w:szCs w:val="15"/>
              </w:rPr>
              <w:t>146,000.00</w:t>
            </w:r>
          </w:p>
        </w:tc>
        <w:tc>
          <w:tcPr>
            <w:tcW w:w="1280"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olor w:val="auto"/>
                <w:sz w:val="15"/>
                <w:szCs w:val="15"/>
              </w:rPr>
            </w:pPr>
            <w:r>
              <w:rPr>
                <w:rFonts w:hint="eastAsia" w:ascii="宋体" w:hAnsi="宋体"/>
                <w:color w:val="auto"/>
                <w:sz w:val="15"/>
                <w:szCs w:val="15"/>
              </w:rPr>
              <w:t>10,245.61</w:t>
            </w:r>
          </w:p>
        </w:tc>
        <w:tc>
          <w:tcPr>
            <w:tcW w:w="988"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olor w:val="auto"/>
                <w:sz w:val="15"/>
                <w:szCs w:val="15"/>
              </w:rPr>
            </w:pPr>
          </w:p>
        </w:tc>
        <w:tc>
          <w:tcPr>
            <w:tcW w:w="1274"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olor w:val="auto"/>
                <w:sz w:val="15"/>
                <w:szCs w:val="15"/>
              </w:rPr>
            </w:pPr>
            <w:r>
              <w:rPr>
                <w:rFonts w:hint="eastAsia" w:ascii="宋体" w:hAnsi="宋体"/>
                <w:color w:val="auto"/>
                <w:sz w:val="15"/>
                <w:szCs w:val="15"/>
              </w:rPr>
              <w:t>135,754.39</w:t>
            </w:r>
          </w:p>
        </w:tc>
        <w:tc>
          <w:tcPr>
            <w:tcW w:w="1134" w:type="dxa"/>
            <w:tcBorders>
              <w:top w:val="single" w:color="auto" w:sz="4" w:space="0"/>
              <w:left w:val="single" w:color="auto" w:sz="4" w:space="0"/>
              <w:bottom w:val="single" w:color="auto" w:sz="4" w:space="0"/>
            </w:tcBorders>
            <w:vAlign w:val="bottom"/>
          </w:tcPr>
          <w:p>
            <w:pPr>
              <w:jc w:val="center"/>
              <w:rPr>
                <w:rFonts w:ascii="宋体" w:hAnsi="宋体"/>
                <w:color w:val="auto"/>
                <w:sz w:val="15"/>
                <w:szCs w:val="15"/>
              </w:rPr>
            </w:pPr>
            <w:r>
              <w:rPr>
                <w:rFonts w:hint="eastAsia" w:ascii="宋体" w:hAnsi="宋体"/>
                <w:color w:val="auto"/>
                <w:sz w:val="15"/>
                <w:szCs w:val="15"/>
              </w:rPr>
              <w:t>与资产相关</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8" w:space="0"/>
          </w:tblBorders>
          <w:tblCellMar>
            <w:top w:w="0" w:type="dxa"/>
            <w:left w:w="108" w:type="dxa"/>
            <w:bottom w:w="0" w:type="dxa"/>
            <w:right w:w="108" w:type="dxa"/>
          </w:tblCellMar>
        </w:tblPrEx>
        <w:trPr>
          <w:trHeight w:val="510" w:hRule="atLeast"/>
        </w:trPr>
        <w:tc>
          <w:tcPr>
            <w:tcW w:w="993" w:type="dxa"/>
            <w:tcBorders>
              <w:top w:val="single" w:color="auto" w:sz="12" w:space="0"/>
              <w:right w:val="single" w:color="auto" w:sz="4" w:space="0"/>
            </w:tcBorders>
            <w:vAlign w:val="bottom"/>
          </w:tcPr>
          <w:p>
            <w:pPr>
              <w:adjustRightInd w:val="0"/>
              <w:snapToGrid w:val="0"/>
              <w:spacing w:line="400" w:lineRule="atLeast"/>
              <w:ind w:left="718" w:leftChars="342" w:firstLine="360" w:firstLineChars="200"/>
              <w:jc w:val="center"/>
              <w:rPr>
                <w:rFonts w:cs="宋体" w:asciiTheme="majorEastAsia" w:hAnsiTheme="majorEastAsia" w:eastAsiaTheme="majorEastAsia"/>
                <w:b/>
                <w:bCs/>
                <w:color w:val="auto"/>
                <w:sz w:val="18"/>
                <w:szCs w:val="18"/>
              </w:rPr>
            </w:pPr>
            <w:r>
              <w:rPr>
                <w:rFonts w:hint="eastAsia" w:asciiTheme="majorEastAsia" w:hAnsiTheme="majorEastAsia" w:eastAsiaTheme="majorEastAsia"/>
                <w:b/>
                <w:bCs/>
                <w:color w:val="auto"/>
                <w:sz w:val="18"/>
                <w:szCs w:val="18"/>
              </w:rPr>
              <w:t>计</w:t>
            </w:r>
          </w:p>
        </w:tc>
        <w:tc>
          <w:tcPr>
            <w:tcW w:w="1350" w:type="dxa"/>
            <w:tcBorders>
              <w:top w:val="single" w:color="auto" w:sz="12" w:space="0"/>
              <w:left w:val="single" w:color="auto" w:sz="4" w:space="0"/>
              <w:right w:val="single" w:color="auto" w:sz="4" w:space="0"/>
            </w:tcBorders>
            <w:vAlign w:val="bottom"/>
          </w:tcPr>
          <w:p>
            <w:pPr>
              <w:jc w:val="right"/>
              <w:rPr>
                <w:rFonts w:ascii="宋体" w:hAnsi="宋体"/>
                <w:b/>
                <w:bCs/>
                <w:color w:val="auto"/>
                <w:sz w:val="15"/>
                <w:szCs w:val="15"/>
              </w:rPr>
            </w:pPr>
            <w:r>
              <w:rPr>
                <w:rFonts w:hint="eastAsia" w:ascii="宋体" w:hAnsi="宋体"/>
                <w:b/>
                <w:bCs/>
                <w:color w:val="auto"/>
                <w:sz w:val="15"/>
                <w:szCs w:val="15"/>
              </w:rPr>
              <w:t>13,634,000.00</w:t>
            </w:r>
          </w:p>
        </w:tc>
        <w:tc>
          <w:tcPr>
            <w:tcW w:w="1345" w:type="dxa"/>
            <w:tcBorders>
              <w:top w:val="single" w:color="auto" w:sz="12" w:space="0"/>
              <w:left w:val="single" w:color="auto" w:sz="4" w:space="0"/>
              <w:right w:val="single" w:color="auto" w:sz="4" w:space="0"/>
            </w:tcBorders>
            <w:vAlign w:val="bottom"/>
          </w:tcPr>
          <w:p>
            <w:pPr>
              <w:jc w:val="right"/>
              <w:rPr>
                <w:rFonts w:ascii="宋体" w:hAnsi="宋体" w:cs="宋体"/>
                <w:b/>
                <w:bCs/>
                <w:color w:val="auto"/>
                <w:sz w:val="15"/>
                <w:szCs w:val="15"/>
              </w:rPr>
            </w:pPr>
            <w:r>
              <w:rPr>
                <w:rFonts w:hint="eastAsia" w:ascii="宋体" w:hAnsi="宋体"/>
                <w:b/>
                <w:bCs/>
                <w:color w:val="auto"/>
                <w:sz w:val="15"/>
                <w:szCs w:val="15"/>
              </w:rPr>
              <w:t>11,242,874.68</w:t>
            </w:r>
          </w:p>
        </w:tc>
        <w:tc>
          <w:tcPr>
            <w:tcW w:w="1133" w:type="dxa"/>
            <w:tcBorders>
              <w:top w:val="single" w:color="auto" w:sz="12" w:space="0"/>
              <w:left w:val="single" w:color="auto" w:sz="4" w:space="0"/>
              <w:right w:val="single" w:color="auto" w:sz="4" w:space="0"/>
            </w:tcBorders>
            <w:vAlign w:val="bottom"/>
          </w:tcPr>
          <w:p>
            <w:pPr>
              <w:jc w:val="right"/>
              <w:rPr>
                <w:rFonts w:ascii="宋体" w:hAnsi="宋体"/>
                <w:b/>
                <w:bCs/>
                <w:color w:val="auto"/>
                <w:sz w:val="15"/>
                <w:szCs w:val="15"/>
              </w:rPr>
            </w:pPr>
            <w:r>
              <w:rPr>
                <w:rFonts w:hint="eastAsia" w:ascii="宋体" w:hAnsi="宋体"/>
                <w:b/>
                <w:bCs/>
                <w:color w:val="auto"/>
                <w:sz w:val="15"/>
                <w:szCs w:val="15"/>
              </w:rPr>
              <w:t>146,000.00</w:t>
            </w:r>
          </w:p>
        </w:tc>
        <w:tc>
          <w:tcPr>
            <w:tcW w:w="1280" w:type="dxa"/>
            <w:tcBorders>
              <w:top w:val="single" w:color="auto" w:sz="12" w:space="0"/>
              <w:left w:val="single" w:color="auto" w:sz="4" w:space="0"/>
              <w:right w:val="single" w:color="auto" w:sz="4" w:space="0"/>
            </w:tcBorders>
            <w:vAlign w:val="bottom"/>
          </w:tcPr>
          <w:p>
            <w:pPr>
              <w:jc w:val="right"/>
              <w:rPr>
                <w:rFonts w:ascii="宋体" w:hAnsi="宋体"/>
                <w:b/>
                <w:bCs/>
                <w:color w:val="auto"/>
                <w:sz w:val="15"/>
                <w:szCs w:val="15"/>
              </w:rPr>
            </w:pPr>
            <w:r>
              <w:rPr>
                <w:rFonts w:hint="eastAsia" w:ascii="宋体" w:hAnsi="宋体"/>
                <w:b/>
                <w:bCs/>
                <w:color w:val="auto"/>
                <w:sz w:val="15"/>
                <w:szCs w:val="15"/>
              </w:rPr>
              <w:t>865,239.86</w:t>
            </w:r>
          </w:p>
        </w:tc>
        <w:tc>
          <w:tcPr>
            <w:tcW w:w="988" w:type="dxa"/>
            <w:tcBorders>
              <w:top w:val="single" w:color="auto" w:sz="12" w:space="0"/>
              <w:left w:val="single" w:color="auto" w:sz="4" w:space="0"/>
              <w:right w:val="single" w:color="auto" w:sz="4" w:space="0"/>
            </w:tcBorders>
            <w:vAlign w:val="bottom"/>
          </w:tcPr>
          <w:p>
            <w:pPr>
              <w:jc w:val="right"/>
              <w:rPr>
                <w:rFonts w:ascii="宋体" w:hAnsi="宋体"/>
                <w:b/>
                <w:bCs/>
                <w:color w:val="auto"/>
                <w:sz w:val="15"/>
                <w:szCs w:val="15"/>
              </w:rPr>
            </w:pPr>
          </w:p>
        </w:tc>
        <w:tc>
          <w:tcPr>
            <w:tcW w:w="1274" w:type="dxa"/>
            <w:tcBorders>
              <w:top w:val="single" w:color="auto" w:sz="12" w:space="0"/>
              <w:left w:val="single" w:color="auto" w:sz="4" w:space="0"/>
              <w:right w:val="single" w:color="auto" w:sz="4" w:space="0"/>
            </w:tcBorders>
            <w:vAlign w:val="bottom"/>
          </w:tcPr>
          <w:p>
            <w:pPr>
              <w:jc w:val="right"/>
              <w:rPr>
                <w:rFonts w:ascii="宋体" w:hAnsi="宋体"/>
                <w:b/>
                <w:bCs/>
                <w:color w:val="auto"/>
                <w:sz w:val="15"/>
                <w:szCs w:val="15"/>
              </w:rPr>
            </w:pPr>
            <w:r>
              <w:rPr>
                <w:rFonts w:hint="eastAsia" w:ascii="宋体" w:hAnsi="宋体"/>
                <w:b/>
                <w:bCs/>
                <w:color w:val="auto"/>
                <w:sz w:val="15"/>
                <w:szCs w:val="15"/>
              </w:rPr>
              <w:t>10,523,634.82</w:t>
            </w:r>
          </w:p>
        </w:tc>
        <w:tc>
          <w:tcPr>
            <w:tcW w:w="1134" w:type="dxa"/>
            <w:tcBorders>
              <w:top w:val="single" w:color="auto" w:sz="12" w:space="0"/>
              <w:left w:val="single" w:color="auto" w:sz="4" w:space="0"/>
            </w:tcBorders>
            <w:vAlign w:val="bottom"/>
          </w:tcPr>
          <w:p>
            <w:pPr>
              <w:jc w:val="center"/>
              <w:rPr>
                <w:rFonts w:ascii="宋体" w:hAnsi="宋体" w:cs="宋体"/>
                <w:b/>
                <w:color w:val="auto"/>
                <w:sz w:val="15"/>
                <w:szCs w:val="15"/>
              </w:rPr>
            </w:pP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28、股本</w:t>
      </w:r>
    </w:p>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）明细项目：</w:t>
      </w:r>
    </w:p>
    <w:tbl>
      <w:tblPr>
        <w:tblStyle w:val="9"/>
        <w:tblW w:w="9781" w:type="dxa"/>
        <w:tblInd w:w="-459"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59"/>
        <w:gridCol w:w="709"/>
        <w:gridCol w:w="567"/>
        <w:gridCol w:w="1559"/>
        <w:gridCol w:w="1276"/>
        <w:gridCol w:w="1559"/>
        <w:gridCol w:w="15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Merge w:val="restart"/>
            <w:tcBorders>
              <w:top w:val="single" w:color="auto" w:sz="12" w:space="0"/>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项目</w:t>
            </w:r>
          </w:p>
        </w:tc>
        <w:tc>
          <w:tcPr>
            <w:tcW w:w="1559" w:type="dxa"/>
            <w:vMerge w:val="restart"/>
            <w:tcBorders>
              <w:top w:val="single" w:color="auto" w:sz="12" w:space="0"/>
            </w:tcBorders>
            <w:vAlign w:val="center"/>
          </w:tcPr>
          <w:p>
            <w:pPr>
              <w:jc w:val="center"/>
              <w:rPr>
                <w:rFonts w:ascii="宋体" w:hAnsi="宋体" w:cs="宋体"/>
                <w:b/>
                <w:color w:val="auto"/>
                <w:kern w:val="0"/>
                <w:sz w:val="18"/>
                <w:szCs w:val="18"/>
              </w:rPr>
            </w:pPr>
            <w:r>
              <w:rPr>
                <w:rFonts w:hint="eastAsia" w:ascii="宋体" w:hAnsi="宋体" w:cs="宋体"/>
                <w:b/>
                <w:color w:val="auto"/>
                <w:kern w:val="0"/>
                <w:sz w:val="18"/>
                <w:szCs w:val="18"/>
              </w:rPr>
              <w:t>期初余额</w:t>
            </w:r>
          </w:p>
        </w:tc>
        <w:tc>
          <w:tcPr>
            <w:tcW w:w="5670" w:type="dxa"/>
            <w:gridSpan w:val="5"/>
            <w:tcBorders>
              <w:top w:val="single" w:color="auto" w:sz="12" w:space="0"/>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本次变动增减（</w:t>
            </w:r>
            <w:r>
              <w:rPr>
                <w:rFonts w:ascii="宋体" w:hAnsi="宋体" w:cs="宋体"/>
                <w:b/>
                <w:color w:val="auto"/>
                <w:kern w:val="0"/>
                <w:sz w:val="18"/>
                <w:szCs w:val="18"/>
              </w:rPr>
              <w:t>+、—）</w:t>
            </w:r>
          </w:p>
        </w:tc>
        <w:tc>
          <w:tcPr>
            <w:tcW w:w="1559" w:type="dxa"/>
            <w:vMerge w:val="restart"/>
            <w:tcBorders>
              <w:top w:val="single" w:color="auto" w:sz="12" w:space="0"/>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期末余额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Merge w:val="continue"/>
            <w:tcBorders>
              <w:bottom w:val="single" w:color="auto" w:sz="12" w:space="0"/>
            </w:tcBorders>
            <w:vAlign w:val="center"/>
          </w:tcPr>
          <w:p>
            <w:pPr>
              <w:widowControl/>
              <w:jc w:val="center"/>
              <w:rPr>
                <w:rFonts w:ascii="宋体" w:hAnsi="宋体" w:cs="宋体"/>
                <w:b/>
                <w:color w:val="auto"/>
                <w:kern w:val="0"/>
                <w:sz w:val="18"/>
                <w:szCs w:val="18"/>
              </w:rPr>
            </w:pPr>
          </w:p>
        </w:tc>
        <w:tc>
          <w:tcPr>
            <w:tcW w:w="1559" w:type="dxa"/>
            <w:vMerge w:val="continue"/>
            <w:tcBorders>
              <w:bottom w:val="single" w:color="auto" w:sz="12" w:space="0"/>
            </w:tcBorders>
            <w:vAlign w:val="center"/>
          </w:tcPr>
          <w:p>
            <w:pPr>
              <w:widowControl/>
              <w:jc w:val="center"/>
              <w:rPr>
                <w:rFonts w:ascii="宋体" w:hAnsi="宋体" w:cs="宋体"/>
                <w:b/>
                <w:color w:val="auto"/>
                <w:kern w:val="0"/>
                <w:sz w:val="18"/>
                <w:szCs w:val="18"/>
              </w:rPr>
            </w:pPr>
          </w:p>
        </w:tc>
        <w:tc>
          <w:tcPr>
            <w:tcW w:w="709" w:type="dxa"/>
            <w:tcBorders>
              <w:bottom w:val="single" w:color="auto" w:sz="12" w:space="0"/>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发行新股</w:t>
            </w:r>
          </w:p>
        </w:tc>
        <w:tc>
          <w:tcPr>
            <w:tcW w:w="567" w:type="dxa"/>
            <w:tcBorders>
              <w:bottom w:val="single" w:color="auto" w:sz="12" w:space="0"/>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送股</w:t>
            </w:r>
          </w:p>
        </w:tc>
        <w:tc>
          <w:tcPr>
            <w:tcW w:w="1559" w:type="dxa"/>
            <w:tcBorders>
              <w:bottom w:val="single" w:color="auto" w:sz="12" w:space="0"/>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公积金转股</w:t>
            </w:r>
          </w:p>
        </w:tc>
        <w:tc>
          <w:tcPr>
            <w:tcW w:w="1276" w:type="dxa"/>
            <w:tcBorders>
              <w:bottom w:val="single" w:color="auto" w:sz="12" w:space="0"/>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其他</w:t>
            </w:r>
          </w:p>
        </w:tc>
        <w:tc>
          <w:tcPr>
            <w:tcW w:w="1559" w:type="dxa"/>
            <w:tcBorders>
              <w:bottom w:val="single" w:color="auto" w:sz="12" w:space="0"/>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小计</w:t>
            </w:r>
          </w:p>
        </w:tc>
        <w:tc>
          <w:tcPr>
            <w:tcW w:w="1559" w:type="dxa"/>
            <w:vMerge w:val="continue"/>
            <w:tcBorders>
              <w:bottom w:val="single" w:color="auto" w:sz="12" w:space="0"/>
            </w:tcBorders>
            <w:vAlign w:val="center"/>
          </w:tcPr>
          <w:p>
            <w:pPr>
              <w:widowControl/>
              <w:jc w:val="center"/>
              <w:rPr>
                <w:rFonts w:ascii="宋体" w:hAnsi="宋体" w:cs="宋体"/>
                <w:b/>
                <w:color w:val="auto"/>
                <w:kern w:val="0"/>
                <w:sz w:val="15"/>
                <w:szCs w:val="15"/>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tcBorders>
              <w:top w:val="single" w:color="auto" w:sz="12" w:space="0"/>
              <w:bottom w:val="single" w:color="auto" w:sz="12" w:space="0"/>
            </w:tcBorders>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股份总额</w:t>
            </w:r>
          </w:p>
        </w:tc>
        <w:tc>
          <w:tcPr>
            <w:tcW w:w="1559" w:type="dxa"/>
            <w:tcBorders>
              <w:top w:val="single" w:color="auto" w:sz="12" w:space="0"/>
              <w:bottom w:val="single" w:color="auto" w:sz="12" w:space="0"/>
            </w:tcBorders>
            <w:vAlign w:val="bottom"/>
          </w:tcPr>
          <w:p>
            <w:pPr>
              <w:jc w:val="right"/>
              <w:rPr>
                <w:rFonts w:cs="宋体" w:asciiTheme="majorEastAsia" w:hAnsiTheme="majorEastAsia" w:eastAsiaTheme="majorEastAsia"/>
                <w:color w:val="auto"/>
                <w:sz w:val="18"/>
                <w:szCs w:val="18"/>
              </w:rPr>
            </w:pPr>
            <w:r>
              <w:rPr>
                <w:rFonts w:ascii="宋体" w:hAnsi="宋体" w:cs="宋体"/>
                <w:color w:val="auto"/>
                <w:kern w:val="0"/>
                <w:sz w:val="18"/>
                <w:szCs w:val="18"/>
              </w:rPr>
              <w:t xml:space="preserve">169,032,648.00 </w:t>
            </w:r>
          </w:p>
        </w:tc>
        <w:tc>
          <w:tcPr>
            <w:tcW w:w="709" w:type="dxa"/>
            <w:tcBorders>
              <w:top w:val="single" w:color="auto" w:sz="12" w:space="0"/>
              <w:bottom w:val="single" w:color="auto" w:sz="12" w:space="0"/>
            </w:tcBorders>
            <w:vAlign w:val="bottom"/>
          </w:tcPr>
          <w:p>
            <w:pPr>
              <w:jc w:val="right"/>
              <w:rPr>
                <w:rFonts w:cs="宋体" w:asciiTheme="majorEastAsia" w:hAnsiTheme="majorEastAsia" w:eastAsiaTheme="majorEastAsia"/>
                <w:color w:val="auto"/>
                <w:sz w:val="18"/>
                <w:szCs w:val="18"/>
              </w:rPr>
            </w:pPr>
          </w:p>
        </w:tc>
        <w:tc>
          <w:tcPr>
            <w:tcW w:w="567" w:type="dxa"/>
            <w:tcBorders>
              <w:top w:val="single" w:color="auto" w:sz="12" w:space="0"/>
              <w:bottom w:val="single" w:color="auto" w:sz="12" w:space="0"/>
            </w:tcBorders>
            <w:vAlign w:val="bottom"/>
          </w:tcPr>
          <w:p>
            <w:pPr>
              <w:jc w:val="right"/>
              <w:rPr>
                <w:rFonts w:cs="宋体" w:asciiTheme="majorEastAsia" w:hAnsiTheme="majorEastAsia" w:eastAsiaTheme="majorEastAsia"/>
                <w:color w:val="auto"/>
                <w:sz w:val="18"/>
                <w:szCs w:val="18"/>
              </w:rPr>
            </w:pPr>
          </w:p>
        </w:tc>
        <w:tc>
          <w:tcPr>
            <w:tcW w:w="1559" w:type="dxa"/>
            <w:tcBorders>
              <w:top w:val="single" w:color="auto" w:sz="12" w:space="0"/>
              <w:bottom w:val="single" w:color="auto" w:sz="12" w:space="0"/>
            </w:tcBorders>
            <w:vAlign w:val="bottom"/>
          </w:tcPr>
          <w:p>
            <w:pPr>
              <w:autoSpaceDE w:val="0"/>
              <w:autoSpaceDN w:val="0"/>
              <w:adjustRightInd w:val="0"/>
              <w:jc w:val="right"/>
              <w:rPr>
                <w:rFonts w:ascii="宋体" w:hAnsi="宋体" w:cs="宋体"/>
                <w:color w:val="auto"/>
                <w:kern w:val="0"/>
                <w:sz w:val="18"/>
                <w:szCs w:val="18"/>
              </w:rPr>
            </w:pPr>
          </w:p>
        </w:tc>
        <w:tc>
          <w:tcPr>
            <w:tcW w:w="1276" w:type="dxa"/>
            <w:tcBorders>
              <w:top w:val="single" w:color="auto" w:sz="12" w:space="0"/>
              <w:bottom w:val="single" w:color="auto" w:sz="12"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-155,500.00 </w:t>
            </w:r>
          </w:p>
        </w:tc>
        <w:tc>
          <w:tcPr>
            <w:tcW w:w="1559" w:type="dxa"/>
            <w:tcBorders>
              <w:top w:val="single" w:color="auto" w:sz="12" w:space="0"/>
              <w:bottom w:val="single" w:color="auto" w:sz="12"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-155,500.00 </w:t>
            </w:r>
          </w:p>
        </w:tc>
        <w:tc>
          <w:tcPr>
            <w:tcW w:w="1559" w:type="dxa"/>
            <w:tcBorders>
              <w:top w:val="single" w:color="auto" w:sz="12" w:space="0"/>
              <w:bottom w:val="single" w:color="auto" w:sz="12"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168,877,148.00 </w:t>
            </w:r>
          </w:p>
        </w:tc>
      </w:tr>
    </w:tbl>
    <w:p>
      <w:pPr>
        <w:widowControl/>
        <w:spacing w:before="150" w:before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2</w:t>
      </w:r>
      <w:r>
        <w:rPr>
          <w:rFonts w:hint="eastAsia" w:ascii="宋体" w:hAnsi="宋体" w:cs="宋体"/>
          <w:color w:val="auto"/>
          <w:kern w:val="0"/>
          <w:szCs w:val="21"/>
        </w:rPr>
        <w:t>）股本变更明细：</w:t>
      </w:r>
    </w:p>
    <w:p>
      <w:pPr>
        <w:spacing w:line="360" w:lineRule="auto"/>
        <w:ind w:firstLine="420" w:firstLineChars="200"/>
        <w:rPr>
          <w:rFonts w:ascii="宋体" w:hAnsi="宋体" w:cs="宋体"/>
          <w:snapToGrid w:val="0"/>
          <w:color w:val="auto"/>
          <w:kern w:val="0"/>
          <w:szCs w:val="21"/>
        </w:rPr>
      </w:pPr>
      <w:r>
        <w:rPr>
          <w:rFonts w:hint="eastAsia" w:ascii="宋体" w:hAnsi="宋体" w:cs="宋体"/>
          <w:snapToGrid w:val="0"/>
          <w:color w:val="auto"/>
          <w:kern w:val="0"/>
          <w:szCs w:val="21"/>
        </w:rPr>
        <w:t>公司于2022年11月14日召开2022年第四次临时股东大会，会议审议通过了《关于回购注销部分限制性股票的议案》、《关于变更公司注册资本与修改&lt;公司章程&gt;的议案》。由于伟隆公司部分激励对象离职及未达到全部解锁条件，根据伟隆公司《2021年限制性股票激励计划（草案修订稿）》的规定，伟隆公司董事会决定对已获授但尚未解锁的155,500.00股限制性股票进行回购注销，变更后的注册资本为人民币168,877,148.00元。</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29、资本公积</w:t>
      </w:r>
    </w:p>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）明细项目：</w:t>
      </w:r>
    </w:p>
    <w:tbl>
      <w:tblPr>
        <w:tblStyle w:val="9"/>
        <w:tblW w:w="8776" w:type="dxa"/>
        <w:jc w:val="center"/>
        <w:tblCaption w:val="&quot;\\lisheng\共享\1、伟隆2022年度审计\1、2022年度审计\1、附注及报告\2022年\附注计算-伟隆 - 2022.xlsx&quot; &quot;2022附注格式!_ReportTable_0068&quot;"/>
        <w:tblDescription w:val="A538:E541"/>
        <w:tblLayout w:type="fixed"/>
        <w:tblCellMar>
          <w:top w:w="0" w:type="dxa"/>
          <w:left w:w="108" w:type="dxa"/>
          <w:bottom w:w="0" w:type="dxa"/>
          <w:right w:w="108" w:type="dxa"/>
        </w:tblCellMar>
      </w:tblPr>
      <w:tblGrid>
        <w:gridCol w:w="1734"/>
        <w:gridCol w:w="1760"/>
        <w:gridCol w:w="1761"/>
        <w:gridCol w:w="1760"/>
        <w:gridCol w:w="1761"/>
      </w:tblGrid>
      <w:tr>
        <w:tblPrEx>
          <w:tblCellMar>
            <w:top w:w="0" w:type="dxa"/>
            <w:left w:w="108" w:type="dxa"/>
            <w:bottom w:w="0" w:type="dxa"/>
            <w:right w:w="108" w:type="dxa"/>
          </w:tblCellMar>
        </w:tblPrEx>
        <w:trPr>
          <w:cantSplit/>
          <w:trHeight w:val="454" w:hRule="atLeast"/>
          <w:jc w:val="center"/>
        </w:trPr>
        <w:tc>
          <w:tcPr>
            <w:tcW w:w="1734" w:type="dxa"/>
            <w:tcBorders>
              <w:top w:val="single" w:color="auto" w:sz="12" w:space="0"/>
              <w:bottom w:val="single" w:color="auto" w:sz="12" w:space="0"/>
              <w:right w:val="single" w:color="auto" w:sz="4" w:space="0"/>
            </w:tcBorders>
            <w:vAlign w:val="center"/>
          </w:tcPr>
          <w:p>
            <w:pPr>
              <w:jc w:val="center"/>
              <w:rPr>
                <w:rFonts w:ascii="宋体" w:hAnsi="宋体"/>
                <w:b/>
                <w:bCs/>
                <w:snapToGrid w:val="0"/>
                <w:color w:val="auto"/>
                <w:kern w:val="0"/>
                <w:sz w:val="18"/>
                <w:szCs w:val="18"/>
              </w:rPr>
            </w:pPr>
            <w:r>
              <w:rPr>
                <w:rFonts w:hint="eastAsia" w:ascii="宋体" w:hAnsi="宋体" w:cs="宋体"/>
                <w:b/>
                <w:bCs/>
                <w:snapToGrid w:val="0"/>
                <w:color w:val="auto"/>
                <w:kern w:val="0"/>
                <w:sz w:val="18"/>
                <w:szCs w:val="18"/>
              </w:rPr>
              <w:t>项</w:t>
            </w:r>
            <w:r>
              <w:rPr>
                <w:rFonts w:ascii="宋体" w:hAnsi="宋体" w:cs="宋体"/>
                <w:b/>
                <w:bCs/>
                <w:snapToGrid w:val="0"/>
                <w:color w:val="auto"/>
                <w:kern w:val="0"/>
                <w:sz w:val="18"/>
                <w:szCs w:val="18"/>
              </w:rPr>
              <w:t xml:space="preserve">  目</w:t>
            </w:r>
          </w:p>
        </w:tc>
        <w:tc>
          <w:tcPr>
            <w:tcW w:w="1760" w:type="dxa"/>
            <w:tcBorders>
              <w:top w:val="single" w:color="auto" w:sz="12" w:space="0"/>
              <w:bottom w:val="single" w:color="auto" w:sz="12" w:space="0"/>
              <w:right w:val="single" w:color="auto" w:sz="4" w:space="0"/>
            </w:tcBorders>
            <w:vAlign w:val="center"/>
          </w:tcPr>
          <w:p>
            <w:pPr>
              <w:jc w:val="center"/>
              <w:rPr>
                <w:rFonts w:ascii="宋体" w:hAnsi="宋体"/>
                <w:b/>
                <w:bCs/>
                <w:snapToGrid w:val="0"/>
                <w:color w:val="auto"/>
                <w:kern w:val="0"/>
                <w:sz w:val="18"/>
                <w:szCs w:val="18"/>
              </w:rPr>
            </w:pPr>
            <w:r>
              <w:rPr>
                <w:rFonts w:hint="eastAsia" w:ascii="宋体" w:hAnsi="宋体" w:cs="宋体"/>
                <w:b/>
                <w:bCs/>
                <w:snapToGrid w:val="0"/>
                <w:color w:val="auto"/>
                <w:kern w:val="0"/>
                <w:sz w:val="18"/>
                <w:szCs w:val="18"/>
              </w:rPr>
              <w:t>期初余额</w:t>
            </w:r>
          </w:p>
        </w:tc>
        <w:tc>
          <w:tcPr>
            <w:tcW w:w="1761"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bCs/>
                <w:snapToGrid w:val="0"/>
                <w:color w:val="auto"/>
                <w:kern w:val="0"/>
                <w:sz w:val="18"/>
                <w:szCs w:val="18"/>
              </w:rPr>
            </w:pPr>
            <w:r>
              <w:rPr>
                <w:rFonts w:hint="eastAsia" w:ascii="宋体" w:hAnsi="宋体" w:cs="宋体"/>
                <w:b/>
                <w:bCs/>
                <w:snapToGrid w:val="0"/>
                <w:color w:val="auto"/>
                <w:kern w:val="0"/>
                <w:sz w:val="18"/>
                <w:szCs w:val="18"/>
              </w:rPr>
              <w:t>本期增加</w:t>
            </w:r>
          </w:p>
        </w:tc>
        <w:tc>
          <w:tcPr>
            <w:tcW w:w="1760"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bCs/>
                <w:snapToGrid w:val="0"/>
                <w:color w:val="auto"/>
                <w:kern w:val="0"/>
                <w:sz w:val="18"/>
                <w:szCs w:val="18"/>
              </w:rPr>
            </w:pPr>
            <w:r>
              <w:rPr>
                <w:rFonts w:hint="eastAsia" w:ascii="宋体" w:hAnsi="宋体" w:cs="宋体"/>
                <w:b/>
                <w:bCs/>
                <w:snapToGrid w:val="0"/>
                <w:color w:val="auto"/>
                <w:kern w:val="0"/>
                <w:sz w:val="18"/>
                <w:szCs w:val="18"/>
              </w:rPr>
              <w:t>本期减少</w:t>
            </w:r>
          </w:p>
        </w:tc>
        <w:tc>
          <w:tcPr>
            <w:tcW w:w="1761" w:type="dxa"/>
            <w:tcBorders>
              <w:top w:val="single" w:color="auto" w:sz="12" w:space="0"/>
              <w:left w:val="single" w:color="auto" w:sz="4" w:space="0"/>
              <w:bottom w:val="single" w:color="auto" w:sz="12" w:space="0"/>
            </w:tcBorders>
            <w:vAlign w:val="center"/>
          </w:tcPr>
          <w:p>
            <w:pPr>
              <w:jc w:val="center"/>
              <w:rPr>
                <w:rFonts w:ascii="宋体" w:hAnsi="宋体"/>
                <w:b/>
                <w:bCs/>
                <w:snapToGrid w:val="0"/>
                <w:color w:val="auto"/>
                <w:kern w:val="0"/>
                <w:sz w:val="18"/>
                <w:szCs w:val="18"/>
              </w:rPr>
            </w:pPr>
            <w:r>
              <w:rPr>
                <w:rFonts w:hint="eastAsia" w:ascii="宋体" w:hAnsi="宋体" w:cs="宋体"/>
                <w:b/>
                <w:bCs/>
                <w:snapToGrid w:val="0"/>
                <w:color w:val="auto"/>
                <w:kern w:val="0"/>
                <w:sz w:val="18"/>
                <w:szCs w:val="18"/>
              </w:rPr>
              <w:t>期末余额</w:t>
            </w:r>
          </w:p>
        </w:tc>
      </w:tr>
      <w:tr>
        <w:tblPrEx>
          <w:tblCellMar>
            <w:top w:w="0" w:type="dxa"/>
            <w:left w:w="108" w:type="dxa"/>
            <w:bottom w:w="0" w:type="dxa"/>
            <w:right w:w="108" w:type="dxa"/>
          </w:tblCellMar>
        </w:tblPrEx>
        <w:trPr>
          <w:cantSplit/>
          <w:trHeight w:val="454" w:hRule="atLeast"/>
          <w:jc w:val="center"/>
        </w:trPr>
        <w:tc>
          <w:tcPr>
            <w:tcW w:w="1734" w:type="dxa"/>
            <w:tcBorders>
              <w:top w:val="single" w:color="auto" w:sz="4" w:space="0"/>
              <w:bottom w:val="single" w:color="auto" w:sz="4" w:space="0"/>
              <w:right w:val="single" w:color="auto" w:sz="4" w:space="0"/>
            </w:tcBorders>
            <w:vAlign w:val="bottom"/>
          </w:tcPr>
          <w:p>
            <w:pPr>
              <w:rPr>
                <w:rFonts w:ascii="宋体"/>
                <w:color w:val="auto"/>
                <w:sz w:val="18"/>
                <w:szCs w:val="18"/>
              </w:rPr>
            </w:pPr>
            <w:r>
              <w:rPr>
                <w:rFonts w:hint="eastAsia" w:ascii="宋体" w:hAnsi="宋体"/>
                <w:color w:val="auto"/>
                <w:sz w:val="18"/>
                <w:szCs w:val="18"/>
              </w:rPr>
              <w:t>股本溢价</w:t>
            </w:r>
          </w:p>
        </w:tc>
        <w:tc>
          <w:tcPr>
            <w:tcW w:w="1760" w:type="dxa"/>
            <w:tcBorders>
              <w:top w:val="single" w:color="auto" w:sz="4" w:space="0"/>
              <w:bottom w:val="single" w:color="auto" w:sz="4" w:space="0"/>
              <w:right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xml:space="preserve">178,294,431.93 </w:t>
            </w:r>
          </w:p>
        </w:tc>
        <w:tc>
          <w:tcPr>
            <w:tcW w:w="1761"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3,040,380.00</w:t>
            </w:r>
          </w:p>
        </w:tc>
        <w:tc>
          <w:tcPr>
            <w:tcW w:w="1760"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2,709,218.95</w:t>
            </w:r>
          </w:p>
        </w:tc>
        <w:tc>
          <w:tcPr>
            <w:tcW w:w="1761" w:type="dxa"/>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178,625,592.98</w:t>
            </w:r>
          </w:p>
        </w:tc>
      </w:tr>
      <w:tr>
        <w:trPr>
          <w:cantSplit/>
          <w:trHeight w:val="454" w:hRule="atLeast"/>
          <w:jc w:val="center"/>
        </w:trPr>
        <w:tc>
          <w:tcPr>
            <w:tcW w:w="1734" w:type="dxa"/>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其他资本公积</w:t>
            </w:r>
          </w:p>
        </w:tc>
        <w:tc>
          <w:tcPr>
            <w:tcW w:w="1760" w:type="dxa"/>
            <w:tcBorders>
              <w:top w:val="single" w:color="auto" w:sz="4" w:space="0"/>
              <w:bottom w:val="single" w:color="auto" w:sz="4" w:space="0"/>
              <w:right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xml:space="preserve">3,300,088.71 </w:t>
            </w:r>
          </w:p>
        </w:tc>
        <w:tc>
          <w:tcPr>
            <w:tcW w:w="1761"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6,284,817.01</w:t>
            </w:r>
          </w:p>
        </w:tc>
        <w:tc>
          <w:tcPr>
            <w:tcW w:w="1760"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3,040,380.00</w:t>
            </w:r>
          </w:p>
        </w:tc>
        <w:tc>
          <w:tcPr>
            <w:tcW w:w="1761" w:type="dxa"/>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6,544,525.72</w:t>
            </w:r>
          </w:p>
        </w:tc>
      </w:tr>
      <w:tr>
        <w:trPr>
          <w:cantSplit/>
          <w:trHeight w:val="454" w:hRule="atLeast"/>
          <w:jc w:val="center"/>
        </w:trPr>
        <w:tc>
          <w:tcPr>
            <w:tcW w:w="1734" w:type="dxa"/>
            <w:tcBorders>
              <w:top w:val="single" w:color="auto" w:sz="12" w:space="0"/>
              <w:bottom w:val="single" w:color="auto" w:sz="12" w:space="0"/>
              <w:right w:val="single" w:color="auto" w:sz="4" w:space="0"/>
            </w:tcBorders>
            <w:vAlign w:val="bottom"/>
          </w:tcPr>
          <w:p>
            <w:pPr>
              <w:jc w:val="center"/>
              <w:rPr>
                <w:rFonts w:ascii="宋体" w:hAnsi="宋体"/>
                <w:b/>
                <w:bCs/>
                <w:snapToGrid w:val="0"/>
                <w:color w:val="auto"/>
                <w:kern w:val="0"/>
                <w:sz w:val="18"/>
                <w:szCs w:val="18"/>
              </w:rPr>
            </w:pPr>
            <w:r>
              <w:rPr>
                <w:rFonts w:hint="eastAsia" w:ascii="宋体" w:hAnsi="宋体" w:cs="宋体"/>
                <w:b/>
                <w:bCs/>
                <w:snapToGrid w:val="0"/>
                <w:color w:val="auto"/>
                <w:kern w:val="0"/>
                <w:sz w:val="18"/>
                <w:szCs w:val="18"/>
              </w:rPr>
              <w:t>合计</w:t>
            </w:r>
          </w:p>
        </w:tc>
        <w:tc>
          <w:tcPr>
            <w:tcW w:w="1760" w:type="dxa"/>
            <w:tcBorders>
              <w:top w:val="single" w:color="auto" w:sz="12" w:space="0"/>
              <w:bottom w:val="single" w:color="auto" w:sz="12" w:space="0"/>
              <w:right w:val="single" w:color="auto" w:sz="4" w:space="0"/>
            </w:tcBorders>
            <w:vAlign w:val="bottom"/>
          </w:tcPr>
          <w:p>
            <w:pPr>
              <w:jc w:val="right"/>
              <w:rPr>
                <w:rFonts w:cs="宋体" w:asciiTheme="majorEastAsia" w:hAnsiTheme="majorEastAsia" w:eastAsiaTheme="majorEastAsia"/>
                <w:b/>
                <w:bCs/>
                <w:color w:val="auto"/>
                <w:sz w:val="18"/>
                <w:szCs w:val="18"/>
              </w:rPr>
            </w:pPr>
            <w:r>
              <w:rPr>
                <w:rFonts w:hint="eastAsia" w:asciiTheme="minorEastAsia" w:hAnsiTheme="minorEastAsia" w:eastAsiaTheme="minorEastAsia"/>
                <w:b/>
                <w:bCs/>
                <w:color w:val="auto"/>
                <w:sz w:val="18"/>
                <w:szCs w:val="18"/>
              </w:rPr>
              <w:t xml:space="preserve">181,594,520.64 </w:t>
            </w:r>
          </w:p>
        </w:tc>
        <w:tc>
          <w:tcPr>
            <w:tcW w:w="1761" w:type="dxa"/>
            <w:tcBorders>
              <w:top w:val="single" w:color="auto" w:sz="12"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9,325,197.01</w:t>
            </w:r>
          </w:p>
        </w:tc>
        <w:tc>
          <w:tcPr>
            <w:tcW w:w="1760" w:type="dxa"/>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5,749,598.95</w:t>
            </w:r>
          </w:p>
        </w:tc>
        <w:tc>
          <w:tcPr>
            <w:tcW w:w="1761" w:type="dxa"/>
            <w:tcBorders>
              <w:top w:val="single" w:color="auto" w:sz="12" w:space="0"/>
              <w:left w:val="single" w:color="auto" w:sz="4"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185,170,118.70</w:t>
            </w:r>
          </w:p>
        </w:tc>
      </w:tr>
    </w:tbl>
    <w:p>
      <w:pPr>
        <w:widowControl/>
        <w:spacing w:before="150" w:before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2</w:t>
      </w:r>
      <w:r>
        <w:rPr>
          <w:rFonts w:hint="eastAsia" w:ascii="宋体" w:hAnsi="宋体" w:cs="宋体"/>
          <w:color w:val="auto"/>
          <w:kern w:val="0"/>
          <w:szCs w:val="21"/>
        </w:rPr>
        <w:t>）股本溢价：</w:t>
      </w:r>
    </w:p>
    <w:p>
      <w:pPr>
        <w:spacing w:line="360" w:lineRule="auto"/>
        <w:ind w:firstLine="420" w:firstLineChars="200"/>
        <w:rPr>
          <w:rFonts w:ascii="宋体" w:hAnsi="宋体" w:cs="宋体"/>
          <w:snapToGrid w:val="0"/>
          <w:color w:val="auto"/>
          <w:szCs w:val="21"/>
        </w:rPr>
      </w:pPr>
      <w:r>
        <w:rPr>
          <w:rFonts w:hint="eastAsia" w:ascii="宋体" w:hAnsi="宋体" w:cs="宋体"/>
          <w:snapToGrid w:val="0"/>
          <w:color w:val="auto"/>
          <w:szCs w:val="21"/>
        </w:rPr>
        <w:t>2022年公司授予的限制性股票解禁，其他资本公积转股本溢价增加</w:t>
      </w:r>
      <w:r>
        <w:rPr>
          <w:rFonts w:cs="宋体" w:asciiTheme="minorEastAsia" w:hAnsiTheme="minorEastAsia" w:eastAsiaTheme="minorEastAsia"/>
          <w:color w:val="auto"/>
          <w:szCs w:val="21"/>
        </w:rPr>
        <w:t>3,040,380.00</w:t>
      </w:r>
      <w:r>
        <w:rPr>
          <w:rFonts w:hint="eastAsia" w:ascii="宋体" w:hAnsi="宋体" w:cs="宋体"/>
          <w:snapToGrid w:val="0"/>
          <w:color w:val="auto"/>
          <w:szCs w:val="21"/>
        </w:rPr>
        <w:t>元；公司第四届董事会第十四次会议决议审计通过的《关于调整2021年限制性股票激励计划预留部分授予价格的议案》及《关于向2021年限制性股票激励计划激励对象授予预留部分限制性股票的议案》，鉴于2021年限制性股票激励计划规定的授予条件已经成就，将2022年9月8日作为预留限制性股票授予日，向27名激励对象授予427,626.00股预留限制性股票，授予价格4.65元每股。回购价与授予价差额调减资本公积股本溢价2,087,218.95元；</w:t>
      </w:r>
      <w:r>
        <w:rPr>
          <w:rFonts w:hint="eastAsia" w:ascii="宋体" w:hAnsi="宋体" w:cs="宋体"/>
          <w:snapToGrid w:val="0"/>
          <w:color w:val="auto"/>
          <w:kern w:val="0"/>
          <w:szCs w:val="21"/>
        </w:rPr>
        <w:t>由于部分股权激励对象人员离职及不满足解锁条件回购注销155,500.00股，</w:t>
      </w:r>
      <w:r>
        <w:rPr>
          <w:rFonts w:hint="eastAsia" w:ascii="宋体" w:hAnsi="宋体" w:cs="宋体"/>
          <w:snapToGrid w:val="0"/>
          <w:color w:val="auto"/>
          <w:szCs w:val="21"/>
        </w:rPr>
        <w:t>减少对应资本公积股本溢价</w:t>
      </w:r>
      <w:r>
        <w:rPr>
          <w:rFonts w:ascii="宋体" w:hAnsi="宋体" w:cs="宋体"/>
          <w:snapToGrid w:val="0"/>
          <w:color w:val="auto"/>
          <w:szCs w:val="21"/>
        </w:rPr>
        <w:t>622,000.00</w:t>
      </w:r>
      <w:r>
        <w:rPr>
          <w:rFonts w:hint="eastAsia" w:ascii="宋体" w:hAnsi="宋体" w:cs="宋体"/>
          <w:snapToGrid w:val="0"/>
          <w:color w:val="auto"/>
          <w:szCs w:val="21"/>
        </w:rPr>
        <w:t>元。</w:t>
      </w:r>
    </w:p>
    <w:p>
      <w:pPr>
        <w:widowControl/>
        <w:spacing w:before="150" w:before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（3）其他资本公积：</w:t>
      </w:r>
    </w:p>
    <w:p>
      <w:pPr>
        <w:pStyle w:val="14"/>
        <w:adjustRightInd/>
        <w:spacing w:line="360" w:lineRule="auto"/>
        <w:ind w:firstLine="420" w:firstLineChars="200"/>
        <w:jc w:val="both"/>
        <w:rPr>
          <w:rFonts w:ascii="宋体" w:hAnsi="宋体" w:eastAsia="宋体" w:cs="宋体"/>
          <w:snapToGrid w:val="0"/>
          <w:color w:val="auto"/>
          <w:sz w:val="21"/>
          <w:szCs w:val="21"/>
        </w:rPr>
      </w:pPr>
      <w:r>
        <w:rPr>
          <w:rFonts w:hint="eastAsia" w:ascii="宋体" w:hAnsi="宋体" w:eastAsia="宋体" w:cs="宋体"/>
          <w:snapToGrid w:val="0"/>
          <w:color w:val="auto"/>
          <w:sz w:val="21"/>
          <w:szCs w:val="21"/>
        </w:rPr>
        <w:t>公司向限制性股票股权激励对象授予限制性股票，202</w:t>
      </w:r>
      <w:r>
        <w:rPr>
          <w:rFonts w:ascii="宋体" w:hAnsi="宋体" w:eastAsia="宋体" w:cs="宋体"/>
          <w:snapToGrid w:val="0"/>
          <w:color w:val="auto"/>
          <w:sz w:val="21"/>
          <w:szCs w:val="21"/>
        </w:rPr>
        <w:t>2</w:t>
      </w:r>
      <w:r>
        <w:rPr>
          <w:rFonts w:hint="eastAsia" w:ascii="宋体" w:hAnsi="宋体" w:eastAsia="宋体" w:cs="宋体"/>
          <w:snapToGrid w:val="0"/>
          <w:color w:val="auto"/>
          <w:sz w:val="21"/>
          <w:szCs w:val="21"/>
        </w:rPr>
        <w:t>年度确认股份支付费用增加</w:t>
      </w:r>
      <w:r>
        <w:rPr>
          <w:rFonts w:ascii="宋体" w:hAnsi="宋体" w:eastAsia="宋体" w:cs="宋体"/>
          <w:snapToGrid w:val="0"/>
          <w:color w:val="auto"/>
          <w:sz w:val="21"/>
          <w:szCs w:val="21"/>
        </w:rPr>
        <w:t>6,284,817.01</w:t>
      </w:r>
      <w:r>
        <w:rPr>
          <w:rFonts w:hint="eastAsia" w:ascii="宋体" w:hAnsi="宋体" w:eastAsia="宋体" w:cs="宋体"/>
          <w:snapToGrid w:val="0"/>
          <w:color w:val="auto"/>
          <w:sz w:val="21"/>
          <w:szCs w:val="21"/>
        </w:rPr>
        <w:t>元，2022年限制性股票解禁，其他资本公积转股本溢价减少</w:t>
      </w:r>
      <w:r>
        <w:rPr>
          <w:rFonts w:cs="宋体" w:asciiTheme="minorEastAsia" w:hAnsiTheme="minorEastAsia" w:eastAsiaTheme="minorEastAsia"/>
          <w:color w:val="auto"/>
          <w:sz w:val="21"/>
          <w:szCs w:val="21"/>
        </w:rPr>
        <w:t>3,040,380.00</w:t>
      </w:r>
      <w:r>
        <w:rPr>
          <w:rFonts w:hint="eastAsia" w:ascii="宋体" w:hAnsi="宋体" w:eastAsia="宋体" w:cs="宋体"/>
          <w:snapToGrid w:val="0"/>
          <w:color w:val="auto"/>
          <w:sz w:val="21"/>
          <w:szCs w:val="21"/>
        </w:rPr>
        <w:t>元。</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30、库存股</w:t>
      </w:r>
    </w:p>
    <w:tbl>
      <w:tblPr>
        <w:tblStyle w:val="9"/>
        <w:tblW w:w="8776" w:type="dxa"/>
        <w:jc w:val="center"/>
        <w:tblCaption w:val="&quot;\\lisheng\共享\1、伟隆2022年度审计\1、2022年度审计\1、附注及报告\2022年\附注计算-伟隆 - 2022.xlsx&quot; &quot;2022附注格式!_ReportTable_0069&quot;"/>
        <w:tblDescription w:val="A544:E547"/>
        <w:tblLayout w:type="fixed"/>
        <w:tblCellMar>
          <w:top w:w="0" w:type="dxa"/>
          <w:left w:w="108" w:type="dxa"/>
          <w:bottom w:w="0" w:type="dxa"/>
          <w:right w:w="108" w:type="dxa"/>
        </w:tblCellMar>
      </w:tblPr>
      <w:tblGrid>
        <w:gridCol w:w="1734"/>
        <w:gridCol w:w="1760"/>
        <w:gridCol w:w="1761"/>
        <w:gridCol w:w="1760"/>
        <w:gridCol w:w="1761"/>
      </w:tblGrid>
      <w:tr>
        <w:tblPrEx>
          <w:tblCellMar>
            <w:top w:w="0" w:type="dxa"/>
            <w:left w:w="108" w:type="dxa"/>
            <w:bottom w:w="0" w:type="dxa"/>
            <w:right w:w="108" w:type="dxa"/>
          </w:tblCellMar>
        </w:tblPrEx>
        <w:trPr>
          <w:cantSplit/>
          <w:trHeight w:val="454" w:hRule="atLeast"/>
          <w:jc w:val="center"/>
        </w:trPr>
        <w:tc>
          <w:tcPr>
            <w:tcW w:w="1734" w:type="dxa"/>
            <w:tcBorders>
              <w:top w:val="single" w:color="auto" w:sz="12" w:space="0"/>
              <w:bottom w:val="single" w:color="auto" w:sz="12" w:space="0"/>
              <w:right w:val="single" w:color="auto" w:sz="4" w:space="0"/>
            </w:tcBorders>
            <w:vAlign w:val="center"/>
          </w:tcPr>
          <w:p>
            <w:pPr>
              <w:jc w:val="center"/>
              <w:rPr>
                <w:rFonts w:ascii="宋体" w:hAnsi="宋体"/>
                <w:b/>
                <w:bCs/>
                <w:snapToGrid w:val="0"/>
                <w:color w:val="auto"/>
                <w:kern w:val="0"/>
                <w:sz w:val="18"/>
                <w:szCs w:val="18"/>
              </w:rPr>
            </w:pPr>
            <w:r>
              <w:rPr>
                <w:rFonts w:hint="eastAsia" w:ascii="宋体" w:hAnsi="宋体" w:cs="宋体"/>
                <w:b/>
                <w:bCs/>
                <w:snapToGrid w:val="0"/>
                <w:color w:val="auto"/>
                <w:kern w:val="0"/>
                <w:sz w:val="18"/>
                <w:szCs w:val="18"/>
              </w:rPr>
              <w:t>项</w:t>
            </w:r>
            <w:r>
              <w:rPr>
                <w:rFonts w:ascii="宋体" w:hAnsi="宋体" w:cs="宋体"/>
                <w:b/>
                <w:bCs/>
                <w:snapToGrid w:val="0"/>
                <w:color w:val="auto"/>
                <w:kern w:val="0"/>
                <w:sz w:val="18"/>
                <w:szCs w:val="18"/>
              </w:rPr>
              <w:t xml:space="preserve">  目</w:t>
            </w:r>
          </w:p>
        </w:tc>
        <w:tc>
          <w:tcPr>
            <w:tcW w:w="1760" w:type="dxa"/>
            <w:tcBorders>
              <w:top w:val="single" w:color="auto" w:sz="12" w:space="0"/>
              <w:bottom w:val="single" w:color="auto" w:sz="12" w:space="0"/>
              <w:right w:val="single" w:color="auto" w:sz="4" w:space="0"/>
            </w:tcBorders>
            <w:vAlign w:val="center"/>
          </w:tcPr>
          <w:p>
            <w:pPr>
              <w:jc w:val="center"/>
              <w:rPr>
                <w:rFonts w:ascii="宋体" w:hAnsi="宋体"/>
                <w:b/>
                <w:bCs/>
                <w:snapToGrid w:val="0"/>
                <w:color w:val="auto"/>
                <w:kern w:val="0"/>
                <w:sz w:val="18"/>
                <w:szCs w:val="18"/>
              </w:rPr>
            </w:pPr>
            <w:r>
              <w:rPr>
                <w:rFonts w:hint="eastAsia" w:ascii="宋体" w:hAnsi="宋体" w:cs="宋体"/>
                <w:b/>
                <w:bCs/>
                <w:snapToGrid w:val="0"/>
                <w:color w:val="auto"/>
                <w:kern w:val="0"/>
                <w:sz w:val="18"/>
                <w:szCs w:val="18"/>
              </w:rPr>
              <w:t>期初余额</w:t>
            </w:r>
          </w:p>
        </w:tc>
        <w:tc>
          <w:tcPr>
            <w:tcW w:w="1761"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bCs/>
                <w:snapToGrid w:val="0"/>
                <w:color w:val="auto"/>
                <w:kern w:val="0"/>
                <w:sz w:val="18"/>
                <w:szCs w:val="18"/>
              </w:rPr>
            </w:pPr>
            <w:r>
              <w:rPr>
                <w:rFonts w:hint="eastAsia" w:ascii="宋体" w:hAnsi="宋体" w:cs="宋体"/>
                <w:b/>
                <w:bCs/>
                <w:snapToGrid w:val="0"/>
                <w:color w:val="auto"/>
                <w:kern w:val="0"/>
                <w:sz w:val="18"/>
                <w:szCs w:val="18"/>
              </w:rPr>
              <w:t>本期增加</w:t>
            </w:r>
          </w:p>
        </w:tc>
        <w:tc>
          <w:tcPr>
            <w:tcW w:w="1760"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bCs/>
                <w:snapToGrid w:val="0"/>
                <w:color w:val="auto"/>
                <w:kern w:val="0"/>
                <w:sz w:val="18"/>
                <w:szCs w:val="18"/>
              </w:rPr>
            </w:pPr>
            <w:r>
              <w:rPr>
                <w:rFonts w:hint="eastAsia" w:ascii="宋体" w:hAnsi="宋体" w:cs="宋体"/>
                <w:b/>
                <w:bCs/>
                <w:snapToGrid w:val="0"/>
                <w:color w:val="auto"/>
                <w:kern w:val="0"/>
                <w:sz w:val="18"/>
                <w:szCs w:val="18"/>
              </w:rPr>
              <w:t>本期减少</w:t>
            </w:r>
          </w:p>
        </w:tc>
        <w:tc>
          <w:tcPr>
            <w:tcW w:w="1761" w:type="dxa"/>
            <w:tcBorders>
              <w:top w:val="single" w:color="auto" w:sz="12" w:space="0"/>
              <w:left w:val="single" w:color="auto" w:sz="4" w:space="0"/>
              <w:bottom w:val="single" w:color="auto" w:sz="12" w:space="0"/>
            </w:tcBorders>
            <w:vAlign w:val="center"/>
          </w:tcPr>
          <w:p>
            <w:pPr>
              <w:jc w:val="center"/>
              <w:rPr>
                <w:rFonts w:ascii="宋体" w:hAnsi="宋体"/>
                <w:b/>
                <w:bCs/>
                <w:snapToGrid w:val="0"/>
                <w:color w:val="auto"/>
                <w:kern w:val="0"/>
                <w:sz w:val="18"/>
                <w:szCs w:val="18"/>
              </w:rPr>
            </w:pPr>
            <w:r>
              <w:rPr>
                <w:rFonts w:hint="eastAsia" w:ascii="宋体" w:hAnsi="宋体" w:cs="宋体"/>
                <w:b/>
                <w:bCs/>
                <w:snapToGrid w:val="0"/>
                <w:color w:val="auto"/>
                <w:kern w:val="0"/>
                <w:sz w:val="18"/>
                <w:szCs w:val="18"/>
              </w:rPr>
              <w:t>期末余额</w:t>
            </w:r>
          </w:p>
        </w:tc>
      </w:tr>
      <w:tr>
        <w:tblPrEx>
          <w:tblCellMar>
            <w:top w:w="0" w:type="dxa"/>
            <w:left w:w="108" w:type="dxa"/>
            <w:bottom w:w="0" w:type="dxa"/>
            <w:right w:w="108" w:type="dxa"/>
          </w:tblCellMar>
        </w:tblPrEx>
        <w:trPr>
          <w:cantSplit/>
          <w:trHeight w:val="454" w:hRule="atLeast"/>
          <w:jc w:val="center"/>
        </w:trPr>
        <w:tc>
          <w:tcPr>
            <w:tcW w:w="1734" w:type="dxa"/>
            <w:tcBorders>
              <w:top w:val="single" w:color="auto" w:sz="4" w:space="0"/>
              <w:bottom w:val="single" w:color="auto" w:sz="4" w:space="0"/>
              <w:right w:val="single" w:color="auto" w:sz="4" w:space="0"/>
            </w:tcBorders>
            <w:vAlign w:val="bottom"/>
          </w:tcPr>
          <w:p>
            <w:pPr>
              <w:rPr>
                <w:rFonts w:ascii="宋体" w:hAnsi="宋体" w:cs="宋体"/>
                <w:snapToGrid w:val="0"/>
                <w:color w:val="auto"/>
                <w:kern w:val="0"/>
                <w:sz w:val="18"/>
                <w:szCs w:val="18"/>
              </w:rPr>
            </w:pPr>
            <w:r>
              <w:rPr>
                <w:rFonts w:hint="eastAsia" w:ascii="宋体" w:hAnsi="宋体" w:cs="宋体"/>
                <w:snapToGrid w:val="0"/>
                <w:color w:val="auto"/>
                <w:kern w:val="0"/>
                <w:sz w:val="18"/>
                <w:szCs w:val="18"/>
              </w:rPr>
              <w:t>股份回购</w:t>
            </w:r>
          </w:p>
        </w:tc>
        <w:tc>
          <w:tcPr>
            <w:tcW w:w="1760" w:type="dxa"/>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4,075,679.85 </w:t>
            </w:r>
          </w:p>
        </w:tc>
        <w:tc>
          <w:tcPr>
            <w:tcW w:w="1761"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1760"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4,075,679.85</w:t>
            </w:r>
          </w:p>
        </w:tc>
        <w:tc>
          <w:tcPr>
            <w:tcW w:w="1761" w:type="dxa"/>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p>
        </w:tc>
      </w:tr>
      <w:tr>
        <w:tblPrEx>
          <w:tblCellMar>
            <w:top w:w="0" w:type="dxa"/>
            <w:left w:w="108" w:type="dxa"/>
            <w:bottom w:w="0" w:type="dxa"/>
            <w:right w:w="108" w:type="dxa"/>
          </w:tblCellMar>
        </w:tblPrEx>
        <w:trPr>
          <w:cantSplit/>
          <w:trHeight w:val="454" w:hRule="atLeast"/>
          <w:jc w:val="center"/>
        </w:trPr>
        <w:tc>
          <w:tcPr>
            <w:tcW w:w="1734" w:type="dxa"/>
            <w:tcBorders>
              <w:top w:val="single" w:color="auto" w:sz="4" w:space="0"/>
              <w:bottom w:val="single" w:color="auto" w:sz="4" w:space="0"/>
              <w:right w:val="single" w:color="auto" w:sz="4" w:space="0"/>
            </w:tcBorders>
            <w:vAlign w:val="bottom"/>
          </w:tcPr>
          <w:p>
            <w:pPr>
              <w:rPr>
                <w:rFonts w:ascii="宋体" w:hAnsi="宋体"/>
                <w:snapToGrid w:val="0"/>
                <w:color w:val="auto"/>
                <w:kern w:val="0"/>
                <w:sz w:val="18"/>
                <w:szCs w:val="18"/>
              </w:rPr>
            </w:pPr>
            <w:r>
              <w:rPr>
                <w:rFonts w:hint="eastAsia" w:ascii="宋体" w:hAnsi="宋体"/>
                <w:snapToGrid w:val="0"/>
                <w:color w:val="auto"/>
                <w:kern w:val="0"/>
                <w:sz w:val="18"/>
                <w:szCs w:val="18"/>
              </w:rPr>
              <w:t>限制性股票</w:t>
            </w:r>
          </w:p>
        </w:tc>
        <w:tc>
          <w:tcPr>
            <w:tcW w:w="1760" w:type="dxa"/>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13,600,000.00 </w:t>
            </w:r>
          </w:p>
        </w:tc>
        <w:tc>
          <w:tcPr>
            <w:tcW w:w="1761"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1,988,460.90</w:t>
            </w:r>
          </w:p>
        </w:tc>
        <w:tc>
          <w:tcPr>
            <w:tcW w:w="1760"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5,218,375.00</w:t>
            </w:r>
          </w:p>
        </w:tc>
        <w:tc>
          <w:tcPr>
            <w:tcW w:w="1761" w:type="dxa"/>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10,370,085.90</w:t>
            </w:r>
          </w:p>
        </w:tc>
      </w:tr>
      <w:tr>
        <w:tblPrEx>
          <w:tblCellMar>
            <w:top w:w="0" w:type="dxa"/>
            <w:left w:w="108" w:type="dxa"/>
            <w:bottom w:w="0" w:type="dxa"/>
            <w:right w:w="108" w:type="dxa"/>
          </w:tblCellMar>
        </w:tblPrEx>
        <w:trPr>
          <w:cantSplit/>
          <w:trHeight w:val="454" w:hRule="atLeast"/>
          <w:jc w:val="center"/>
        </w:trPr>
        <w:tc>
          <w:tcPr>
            <w:tcW w:w="1734" w:type="dxa"/>
            <w:tcBorders>
              <w:top w:val="single" w:color="auto" w:sz="12" w:space="0"/>
              <w:bottom w:val="single" w:color="auto" w:sz="12" w:space="0"/>
              <w:right w:val="single" w:color="auto" w:sz="4" w:space="0"/>
            </w:tcBorders>
            <w:vAlign w:val="bottom"/>
          </w:tcPr>
          <w:p>
            <w:pPr>
              <w:jc w:val="center"/>
              <w:rPr>
                <w:rFonts w:ascii="宋体" w:hAnsi="宋体"/>
                <w:b/>
                <w:bCs/>
                <w:snapToGrid w:val="0"/>
                <w:color w:val="auto"/>
                <w:kern w:val="0"/>
                <w:sz w:val="18"/>
                <w:szCs w:val="18"/>
              </w:rPr>
            </w:pPr>
            <w:r>
              <w:rPr>
                <w:rFonts w:hint="eastAsia" w:ascii="宋体" w:hAnsi="宋体" w:cs="宋体"/>
                <w:b/>
                <w:bCs/>
                <w:snapToGrid w:val="0"/>
                <w:color w:val="auto"/>
                <w:kern w:val="0"/>
                <w:sz w:val="18"/>
                <w:szCs w:val="18"/>
              </w:rPr>
              <w:t>合计</w:t>
            </w:r>
          </w:p>
        </w:tc>
        <w:tc>
          <w:tcPr>
            <w:tcW w:w="1760" w:type="dxa"/>
            <w:tcBorders>
              <w:top w:val="single" w:color="auto" w:sz="12"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17,675,679.85 </w:t>
            </w:r>
          </w:p>
        </w:tc>
        <w:tc>
          <w:tcPr>
            <w:tcW w:w="1761" w:type="dxa"/>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1,988,460.90</w:t>
            </w:r>
          </w:p>
        </w:tc>
        <w:tc>
          <w:tcPr>
            <w:tcW w:w="1760" w:type="dxa"/>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9,294,054.85</w:t>
            </w:r>
          </w:p>
        </w:tc>
        <w:tc>
          <w:tcPr>
            <w:tcW w:w="1761" w:type="dxa"/>
            <w:tcBorders>
              <w:top w:val="single" w:color="auto" w:sz="12" w:space="0"/>
              <w:left w:val="single" w:color="auto" w:sz="4"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10,370,085.90</w:t>
            </w:r>
          </w:p>
        </w:tc>
      </w:tr>
    </w:tbl>
    <w:p>
      <w:pPr>
        <w:spacing w:before="150" w:beforeLines="50" w:line="360" w:lineRule="auto"/>
        <w:ind w:firstLine="420" w:firstLineChars="200"/>
        <w:rPr>
          <w:rFonts w:ascii="宋体" w:hAnsi="宋体" w:cs="宋体"/>
          <w:snapToGrid w:val="0"/>
          <w:color w:val="auto"/>
          <w:kern w:val="0"/>
          <w:szCs w:val="18"/>
        </w:rPr>
      </w:pPr>
      <w:bookmarkStart w:id="30" w:name="OLE_LINK23"/>
      <w:r>
        <w:rPr>
          <w:rFonts w:hint="eastAsia" w:ascii="宋体" w:hAnsi="宋体" w:cs="宋体"/>
          <w:snapToGrid w:val="0"/>
          <w:color w:val="auto"/>
          <w:kern w:val="0"/>
          <w:szCs w:val="18"/>
        </w:rPr>
        <w:t>2022年根据</w:t>
      </w:r>
      <w:r>
        <w:rPr>
          <w:rFonts w:hint="eastAsia" w:ascii="宋体" w:hAnsi="宋体" w:cs="宋体"/>
          <w:snapToGrid w:val="0"/>
          <w:color w:val="auto"/>
          <w:szCs w:val="18"/>
        </w:rPr>
        <w:t>第四届董事会第十四次会议决议，向27名激励对象授予427,626.00股预留限制性股票，股票回购的库存股减少</w:t>
      </w:r>
      <w:r>
        <w:rPr>
          <w:rFonts w:cs="宋体" w:asciiTheme="minorEastAsia" w:hAnsiTheme="minorEastAsia" w:eastAsiaTheme="minorEastAsia"/>
          <w:color w:val="auto"/>
          <w:szCs w:val="18"/>
        </w:rPr>
        <w:t>4,075,679.85</w:t>
      </w:r>
      <w:r>
        <w:rPr>
          <w:rFonts w:hint="eastAsia" w:ascii="宋体" w:hAnsi="宋体" w:cs="宋体"/>
          <w:snapToGrid w:val="0"/>
          <w:color w:val="auto"/>
          <w:kern w:val="0"/>
          <w:szCs w:val="18"/>
        </w:rPr>
        <w:t>元</w:t>
      </w:r>
      <w:r>
        <w:rPr>
          <w:rFonts w:hint="eastAsia" w:ascii="宋体" w:hAnsi="宋体" w:cs="宋体"/>
          <w:snapToGrid w:val="0"/>
          <w:color w:val="auto"/>
          <w:szCs w:val="18"/>
        </w:rPr>
        <w:t>；由于向股权激励对象授予限制性股票，回购义务增加导致库存股增加</w:t>
      </w:r>
      <w:r>
        <w:rPr>
          <w:rFonts w:cs="宋体" w:asciiTheme="minorEastAsia" w:hAnsiTheme="minorEastAsia" w:eastAsiaTheme="minorEastAsia"/>
          <w:color w:val="auto"/>
          <w:szCs w:val="18"/>
        </w:rPr>
        <w:t>1,988,460.90元，</w:t>
      </w:r>
      <w:r>
        <w:rPr>
          <w:rFonts w:hint="eastAsia" w:ascii="宋体" w:hAnsi="宋体" w:cs="宋体"/>
          <w:snapToGrid w:val="0"/>
          <w:color w:val="auto"/>
          <w:szCs w:val="18"/>
        </w:rPr>
        <w:t>解禁、回购限制性股票以及可撤销股利分配等影响，回购义务变动导致库存股减少</w:t>
      </w:r>
      <w:r>
        <w:rPr>
          <w:rFonts w:cs="宋体" w:asciiTheme="minorEastAsia" w:hAnsiTheme="minorEastAsia" w:eastAsiaTheme="minorEastAsia"/>
          <w:color w:val="auto"/>
          <w:szCs w:val="18"/>
        </w:rPr>
        <w:t>5,218,375.00元。</w:t>
      </w:r>
    </w:p>
    <w:bookmarkEnd w:id="30"/>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31、其他综合收益</w:t>
      </w:r>
    </w:p>
    <w:tbl>
      <w:tblPr>
        <w:tblStyle w:val="9"/>
        <w:tblW w:w="9039" w:type="dxa"/>
        <w:tblCaption w:val="&quot;\\lisheng\共享\1、伟隆2022年度审计\1、2022年度审计\1、附注及报告\2022年\附注计算-伟隆 - 2022.xlsx&quot; &quot;2022附注格式!_ReportTable_0070&quot;"/>
        <w:tblDescription w:val="A553:H562"/>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1147"/>
        <w:gridCol w:w="1148"/>
        <w:gridCol w:w="860"/>
        <w:gridCol w:w="718"/>
        <w:gridCol w:w="1148"/>
        <w:gridCol w:w="718"/>
        <w:gridCol w:w="11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52" w:type="dxa"/>
            <w:vMerge w:val="restart"/>
            <w:tcBorders>
              <w:top w:val="single" w:color="auto" w:sz="12" w:space="0"/>
            </w:tcBorders>
            <w:noWrap/>
            <w:vAlign w:val="center"/>
          </w:tcPr>
          <w:p>
            <w:pPr>
              <w:widowControl/>
              <w:jc w:val="center"/>
              <w:rPr>
                <w:rFonts w:ascii="宋体" w:cs="宋体"/>
                <w:b/>
                <w:color w:val="auto"/>
                <w:kern w:val="0"/>
                <w:sz w:val="15"/>
                <w:szCs w:val="15"/>
              </w:rPr>
            </w:pPr>
            <w:r>
              <w:rPr>
                <w:rFonts w:hint="eastAsia" w:ascii="宋体" w:cs="宋体"/>
                <w:b/>
                <w:color w:val="auto"/>
                <w:kern w:val="0"/>
                <w:sz w:val="15"/>
                <w:szCs w:val="15"/>
              </w:rPr>
              <w:t>项目</w:t>
            </w:r>
          </w:p>
        </w:tc>
        <w:tc>
          <w:tcPr>
            <w:tcW w:w="1147" w:type="dxa"/>
            <w:vMerge w:val="restart"/>
            <w:tcBorders>
              <w:top w:val="single" w:color="auto" w:sz="12" w:space="0"/>
            </w:tcBorders>
            <w:noWrap/>
            <w:vAlign w:val="center"/>
          </w:tcPr>
          <w:p>
            <w:pPr>
              <w:widowControl/>
              <w:jc w:val="center"/>
              <w:rPr>
                <w:rFonts w:ascii="宋体" w:cs="宋体"/>
                <w:b/>
                <w:color w:val="auto"/>
                <w:kern w:val="0"/>
                <w:sz w:val="15"/>
                <w:szCs w:val="15"/>
              </w:rPr>
            </w:pPr>
            <w:r>
              <w:rPr>
                <w:rFonts w:hint="eastAsia" w:ascii="宋体" w:cs="宋体"/>
                <w:b/>
                <w:color w:val="auto"/>
                <w:kern w:val="0"/>
                <w:sz w:val="15"/>
                <w:szCs w:val="15"/>
              </w:rPr>
              <w:t>期初余额</w:t>
            </w:r>
          </w:p>
        </w:tc>
        <w:tc>
          <w:tcPr>
            <w:tcW w:w="4592" w:type="dxa"/>
            <w:gridSpan w:val="5"/>
            <w:tcBorders>
              <w:top w:val="single" w:color="auto" w:sz="12" w:space="0"/>
              <w:bottom w:val="single" w:color="auto" w:sz="4" w:space="0"/>
            </w:tcBorders>
            <w:noWrap/>
            <w:vAlign w:val="center"/>
          </w:tcPr>
          <w:p>
            <w:pPr>
              <w:widowControl/>
              <w:jc w:val="center"/>
              <w:rPr>
                <w:rFonts w:ascii="宋体" w:hAnsi="宋体"/>
                <w:b/>
                <w:bCs/>
                <w:color w:val="auto"/>
                <w:sz w:val="15"/>
                <w:szCs w:val="15"/>
              </w:rPr>
            </w:pPr>
            <w:r>
              <w:rPr>
                <w:rFonts w:hint="eastAsia" w:ascii="宋体" w:hAnsi="宋体"/>
                <w:b/>
                <w:bCs/>
                <w:color w:val="auto"/>
                <w:sz w:val="15"/>
                <w:szCs w:val="15"/>
              </w:rPr>
              <w:t>本期发生额</w:t>
            </w:r>
          </w:p>
        </w:tc>
        <w:tc>
          <w:tcPr>
            <w:tcW w:w="1148" w:type="dxa"/>
            <w:vMerge w:val="restart"/>
            <w:tcBorders>
              <w:top w:val="single" w:color="auto" w:sz="12" w:space="0"/>
            </w:tcBorders>
            <w:noWrap/>
            <w:vAlign w:val="center"/>
          </w:tcPr>
          <w:p>
            <w:pPr>
              <w:widowControl/>
              <w:jc w:val="center"/>
              <w:rPr>
                <w:rFonts w:ascii="宋体" w:cs="宋体"/>
                <w:b/>
                <w:color w:val="auto"/>
                <w:kern w:val="0"/>
                <w:sz w:val="15"/>
                <w:szCs w:val="15"/>
              </w:rPr>
            </w:pPr>
            <w:r>
              <w:rPr>
                <w:rFonts w:hint="eastAsia" w:ascii="宋体" w:cs="宋体"/>
                <w:b/>
                <w:color w:val="auto"/>
                <w:kern w:val="0"/>
                <w:sz w:val="15"/>
                <w:szCs w:val="15"/>
              </w:rPr>
              <w:t>期末余额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exact"/>
        </w:trPr>
        <w:tc>
          <w:tcPr>
            <w:tcW w:w="2152" w:type="dxa"/>
            <w:vMerge w:val="continue"/>
            <w:tcBorders>
              <w:bottom w:val="single" w:color="auto" w:sz="12" w:space="0"/>
            </w:tcBorders>
            <w:noWrap/>
            <w:vAlign w:val="bottom"/>
          </w:tcPr>
          <w:p>
            <w:pPr>
              <w:widowControl/>
              <w:jc w:val="center"/>
              <w:rPr>
                <w:rFonts w:ascii="宋体" w:cs="宋体"/>
                <w:color w:val="auto"/>
                <w:kern w:val="0"/>
                <w:sz w:val="15"/>
                <w:szCs w:val="15"/>
              </w:rPr>
            </w:pPr>
          </w:p>
        </w:tc>
        <w:tc>
          <w:tcPr>
            <w:tcW w:w="1147" w:type="dxa"/>
            <w:vMerge w:val="continue"/>
            <w:tcBorders>
              <w:bottom w:val="single" w:color="auto" w:sz="12" w:space="0"/>
            </w:tcBorders>
            <w:noWrap/>
            <w:vAlign w:val="bottom"/>
          </w:tcPr>
          <w:p>
            <w:pPr>
              <w:jc w:val="right"/>
              <w:rPr>
                <w:rFonts w:cs="宋体" w:asciiTheme="minorEastAsia" w:hAnsiTheme="minorEastAsia" w:eastAsiaTheme="minorEastAsia"/>
                <w:color w:val="auto"/>
                <w:sz w:val="15"/>
                <w:szCs w:val="15"/>
              </w:rPr>
            </w:pPr>
          </w:p>
        </w:tc>
        <w:tc>
          <w:tcPr>
            <w:tcW w:w="1148" w:type="dxa"/>
            <w:tcBorders>
              <w:top w:val="single" w:color="auto" w:sz="4" w:space="0"/>
              <w:bottom w:val="single" w:color="auto" w:sz="12" w:space="0"/>
            </w:tcBorders>
            <w:vAlign w:val="center"/>
          </w:tcPr>
          <w:p>
            <w:pPr>
              <w:jc w:val="center"/>
              <w:rPr>
                <w:b/>
                <w:color w:val="auto"/>
                <w:sz w:val="15"/>
                <w:szCs w:val="15"/>
              </w:rPr>
            </w:pPr>
            <w:r>
              <w:rPr>
                <w:rFonts w:hint="eastAsia"/>
                <w:b/>
                <w:color w:val="auto"/>
                <w:sz w:val="15"/>
                <w:szCs w:val="15"/>
              </w:rPr>
              <w:t>本期所得税前发生额</w:t>
            </w:r>
          </w:p>
        </w:tc>
        <w:tc>
          <w:tcPr>
            <w:tcW w:w="860" w:type="dxa"/>
            <w:tcBorders>
              <w:top w:val="single" w:color="auto" w:sz="4" w:space="0"/>
              <w:bottom w:val="single" w:color="auto" w:sz="12" w:space="0"/>
            </w:tcBorders>
            <w:vAlign w:val="center"/>
          </w:tcPr>
          <w:p>
            <w:pPr>
              <w:jc w:val="center"/>
              <w:rPr>
                <w:b/>
                <w:color w:val="auto"/>
                <w:sz w:val="15"/>
                <w:szCs w:val="15"/>
              </w:rPr>
            </w:pPr>
            <w:r>
              <w:rPr>
                <w:rFonts w:hint="eastAsia"/>
                <w:b/>
                <w:color w:val="auto"/>
                <w:sz w:val="15"/>
                <w:szCs w:val="15"/>
              </w:rPr>
              <w:t>减：前期计入其他综合收益当期转入损益</w:t>
            </w:r>
          </w:p>
        </w:tc>
        <w:tc>
          <w:tcPr>
            <w:tcW w:w="718" w:type="dxa"/>
            <w:tcBorders>
              <w:top w:val="single" w:color="auto" w:sz="4" w:space="0"/>
              <w:bottom w:val="single" w:color="auto" w:sz="12" w:space="0"/>
            </w:tcBorders>
            <w:vAlign w:val="center"/>
          </w:tcPr>
          <w:p>
            <w:pPr>
              <w:jc w:val="center"/>
              <w:rPr>
                <w:b/>
                <w:color w:val="auto"/>
                <w:sz w:val="15"/>
                <w:szCs w:val="15"/>
              </w:rPr>
            </w:pPr>
            <w:r>
              <w:rPr>
                <w:rFonts w:hint="eastAsia"/>
                <w:b/>
                <w:color w:val="auto"/>
                <w:sz w:val="15"/>
                <w:szCs w:val="15"/>
              </w:rPr>
              <w:t>减：所得税费用</w:t>
            </w:r>
          </w:p>
        </w:tc>
        <w:tc>
          <w:tcPr>
            <w:tcW w:w="1148" w:type="dxa"/>
            <w:tcBorders>
              <w:top w:val="single" w:color="auto" w:sz="4" w:space="0"/>
              <w:bottom w:val="single" w:color="auto" w:sz="12" w:space="0"/>
            </w:tcBorders>
            <w:vAlign w:val="center"/>
          </w:tcPr>
          <w:p>
            <w:pPr>
              <w:jc w:val="center"/>
              <w:rPr>
                <w:b/>
                <w:color w:val="auto"/>
                <w:sz w:val="15"/>
                <w:szCs w:val="15"/>
              </w:rPr>
            </w:pPr>
            <w:r>
              <w:rPr>
                <w:rFonts w:hint="eastAsia"/>
                <w:b/>
                <w:color w:val="auto"/>
                <w:sz w:val="15"/>
                <w:szCs w:val="15"/>
              </w:rPr>
              <w:t>税后归属于母公司</w:t>
            </w:r>
          </w:p>
        </w:tc>
        <w:tc>
          <w:tcPr>
            <w:tcW w:w="718" w:type="dxa"/>
            <w:tcBorders>
              <w:top w:val="single" w:color="auto" w:sz="4" w:space="0"/>
              <w:bottom w:val="single" w:color="auto" w:sz="12" w:space="0"/>
            </w:tcBorders>
            <w:vAlign w:val="center"/>
          </w:tcPr>
          <w:p>
            <w:pPr>
              <w:jc w:val="center"/>
              <w:rPr>
                <w:b/>
                <w:color w:val="auto"/>
                <w:sz w:val="15"/>
                <w:szCs w:val="15"/>
              </w:rPr>
            </w:pPr>
            <w:r>
              <w:rPr>
                <w:rFonts w:hint="eastAsia"/>
                <w:b/>
                <w:color w:val="auto"/>
                <w:sz w:val="15"/>
                <w:szCs w:val="15"/>
              </w:rPr>
              <w:t>税后归属于少数股东</w:t>
            </w:r>
          </w:p>
        </w:tc>
        <w:tc>
          <w:tcPr>
            <w:tcW w:w="1148" w:type="dxa"/>
            <w:vMerge w:val="continue"/>
            <w:tcBorders>
              <w:bottom w:val="single" w:color="auto" w:sz="12" w:space="0"/>
            </w:tcBorders>
            <w:noWrap/>
            <w:vAlign w:val="bottom"/>
          </w:tcPr>
          <w:p>
            <w:pPr>
              <w:jc w:val="right"/>
              <w:rPr>
                <w:rFonts w:cs="宋体" w:asciiTheme="minorEastAsia" w:hAnsiTheme="minorEastAsia" w:eastAsiaTheme="minorEastAsia"/>
                <w:b/>
                <w:color w:val="auto"/>
                <w:sz w:val="15"/>
                <w:szCs w:val="15"/>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2" w:type="dxa"/>
            <w:tcBorders>
              <w:top w:val="single" w:color="auto" w:sz="12" w:space="0"/>
              <w:bottom w:val="single" w:color="auto" w:sz="4" w:space="0"/>
            </w:tcBorders>
            <w:noWrap/>
            <w:vAlign w:val="bottom"/>
          </w:tcPr>
          <w:p>
            <w:pPr>
              <w:rPr>
                <w:rFonts w:ascii="宋体" w:hAnsi="宋体" w:cs="宋体"/>
                <w:color w:val="auto"/>
                <w:sz w:val="16"/>
                <w:szCs w:val="15"/>
              </w:rPr>
            </w:pPr>
            <w:r>
              <w:rPr>
                <w:rFonts w:hint="eastAsia" w:ascii="宋体" w:hAnsi="宋体"/>
                <w:color w:val="auto"/>
                <w:sz w:val="16"/>
                <w:szCs w:val="15"/>
              </w:rPr>
              <w:t>一、以后不能重分类进损益的其他综合收益</w:t>
            </w:r>
          </w:p>
        </w:tc>
        <w:tc>
          <w:tcPr>
            <w:tcW w:w="1147" w:type="dxa"/>
            <w:tcBorders>
              <w:top w:val="single" w:color="auto" w:sz="12" w:space="0"/>
              <w:bottom w:val="single" w:color="auto" w:sz="4" w:space="0"/>
            </w:tcBorders>
            <w:noWrap/>
            <w:vAlign w:val="bottom"/>
          </w:tcPr>
          <w:p>
            <w:pPr>
              <w:jc w:val="right"/>
              <w:rPr>
                <w:rFonts w:cs="宋体" w:asciiTheme="minorEastAsia" w:hAnsiTheme="minorEastAsia" w:eastAsiaTheme="minorEastAsia"/>
                <w:color w:val="auto"/>
                <w:sz w:val="16"/>
                <w:szCs w:val="15"/>
              </w:rPr>
            </w:pPr>
          </w:p>
        </w:tc>
        <w:tc>
          <w:tcPr>
            <w:tcW w:w="1148" w:type="dxa"/>
            <w:tcBorders>
              <w:top w:val="single" w:color="auto" w:sz="12"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860" w:type="dxa"/>
            <w:tcBorders>
              <w:top w:val="single" w:color="auto" w:sz="12"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718" w:type="dxa"/>
            <w:tcBorders>
              <w:top w:val="single" w:color="auto" w:sz="12"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1148" w:type="dxa"/>
            <w:tcBorders>
              <w:top w:val="single" w:color="auto" w:sz="12"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718" w:type="dxa"/>
            <w:tcBorders>
              <w:top w:val="single" w:color="auto" w:sz="12"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1148" w:type="dxa"/>
            <w:tcBorders>
              <w:top w:val="single" w:color="auto" w:sz="12" w:space="0"/>
              <w:bottom w:val="single" w:color="auto" w:sz="4" w:space="0"/>
            </w:tcBorders>
            <w:noWrap/>
            <w:vAlign w:val="bottom"/>
          </w:tcPr>
          <w:p>
            <w:pPr>
              <w:jc w:val="right"/>
              <w:rPr>
                <w:rFonts w:cs="宋体" w:asciiTheme="minorEastAsia" w:hAnsiTheme="minorEastAsia" w:eastAsiaTheme="minorEastAsia"/>
                <w:color w:val="auto"/>
                <w:sz w:val="16"/>
                <w:szCs w:val="15"/>
              </w:rPr>
            </w:pPr>
          </w:p>
          <w:p>
            <w:pPr>
              <w:jc w:val="right"/>
              <w:rPr>
                <w:rFonts w:cs="宋体" w:asciiTheme="minorEastAsia" w:hAnsiTheme="minorEastAsia" w:eastAsiaTheme="minorEastAsia"/>
                <w:color w:val="auto"/>
                <w:sz w:val="16"/>
                <w:szCs w:val="15"/>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2" w:type="dxa"/>
            <w:tcBorders>
              <w:top w:val="single" w:color="auto" w:sz="4" w:space="0"/>
              <w:bottom w:val="single" w:color="auto" w:sz="4" w:space="0"/>
            </w:tcBorders>
            <w:noWrap/>
            <w:vAlign w:val="bottom"/>
          </w:tcPr>
          <w:p>
            <w:pPr>
              <w:rPr>
                <w:rFonts w:ascii="宋体" w:hAnsi="宋体"/>
                <w:color w:val="auto"/>
                <w:sz w:val="16"/>
                <w:szCs w:val="15"/>
              </w:rPr>
            </w:pPr>
            <w:r>
              <w:rPr>
                <w:rFonts w:hint="eastAsia" w:ascii="宋体" w:hAnsi="宋体"/>
                <w:color w:val="auto"/>
                <w:sz w:val="16"/>
                <w:szCs w:val="15"/>
              </w:rPr>
              <w:t>其中：重新计量设定受益计划净负债或净资产的变动</w:t>
            </w:r>
          </w:p>
        </w:tc>
        <w:tc>
          <w:tcPr>
            <w:tcW w:w="1147" w:type="dxa"/>
            <w:tcBorders>
              <w:top w:val="single" w:color="auto" w:sz="4" w:space="0"/>
              <w:bottom w:val="single" w:color="auto" w:sz="4" w:space="0"/>
            </w:tcBorders>
            <w:noWrap/>
            <w:vAlign w:val="bottom"/>
          </w:tcPr>
          <w:p>
            <w:pPr>
              <w:jc w:val="right"/>
              <w:rPr>
                <w:rFonts w:cs="宋体" w:asciiTheme="minorEastAsia" w:hAnsiTheme="minorEastAsia" w:eastAsiaTheme="minorEastAsia"/>
                <w:color w:val="auto"/>
                <w:sz w:val="16"/>
                <w:szCs w:val="15"/>
              </w:rPr>
            </w:pPr>
          </w:p>
        </w:tc>
        <w:tc>
          <w:tcPr>
            <w:tcW w:w="114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860"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71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114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71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1148" w:type="dxa"/>
            <w:tcBorders>
              <w:top w:val="single" w:color="auto" w:sz="4" w:space="0"/>
              <w:bottom w:val="single" w:color="auto" w:sz="4" w:space="0"/>
            </w:tcBorders>
            <w:noWrap/>
            <w:vAlign w:val="bottom"/>
          </w:tcPr>
          <w:p>
            <w:pPr>
              <w:jc w:val="right"/>
              <w:rPr>
                <w:rFonts w:cs="宋体" w:asciiTheme="minorEastAsia" w:hAnsiTheme="minorEastAsia" w:eastAsiaTheme="minorEastAsia"/>
                <w:color w:val="auto"/>
                <w:sz w:val="16"/>
                <w:szCs w:val="15"/>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2152" w:type="dxa"/>
            <w:tcBorders>
              <w:top w:val="single" w:color="auto" w:sz="4" w:space="0"/>
              <w:bottom w:val="single" w:color="auto" w:sz="4" w:space="0"/>
            </w:tcBorders>
            <w:noWrap/>
            <w:vAlign w:val="bottom"/>
          </w:tcPr>
          <w:p>
            <w:pPr>
              <w:rPr>
                <w:rFonts w:ascii="宋体" w:hAnsi="宋体"/>
                <w:color w:val="auto"/>
                <w:sz w:val="16"/>
                <w:szCs w:val="15"/>
              </w:rPr>
            </w:pPr>
            <w:r>
              <w:rPr>
                <w:rFonts w:hint="eastAsia" w:ascii="宋体" w:hAnsi="宋体"/>
                <w:color w:val="auto"/>
                <w:sz w:val="16"/>
                <w:szCs w:val="15"/>
              </w:rPr>
              <w:t>权益法下在被投资单位不能重分类进损益的其他综合收益中享有的份额</w:t>
            </w:r>
          </w:p>
        </w:tc>
        <w:tc>
          <w:tcPr>
            <w:tcW w:w="1147" w:type="dxa"/>
            <w:tcBorders>
              <w:top w:val="single" w:color="auto" w:sz="4" w:space="0"/>
              <w:bottom w:val="single" w:color="auto" w:sz="4" w:space="0"/>
            </w:tcBorders>
            <w:noWrap/>
            <w:vAlign w:val="bottom"/>
          </w:tcPr>
          <w:p>
            <w:pPr>
              <w:jc w:val="right"/>
              <w:rPr>
                <w:rFonts w:cs="宋体" w:asciiTheme="minorEastAsia" w:hAnsiTheme="minorEastAsia" w:eastAsiaTheme="minorEastAsia"/>
                <w:color w:val="auto"/>
                <w:sz w:val="16"/>
                <w:szCs w:val="15"/>
              </w:rPr>
            </w:pPr>
          </w:p>
        </w:tc>
        <w:tc>
          <w:tcPr>
            <w:tcW w:w="114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860"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71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114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71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1148" w:type="dxa"/>
            <w:tcBorders>
              <w:top w:val="single" w:color="auto" w:sz="4" w:space="0"/>
              <w:bottom w:val="single" w:color="auto" w:sz="4" w:space="0"/>
            </w:tcBorders>
            <w:noWrap/>
            <w:vAlign w:val="bottom"/>
          </w:tcPr>
          <w:p>
            <w:pPr>
              <w:jc w:val="right"/>
              <w:rPr>
                <w:rFonts w:cs="宋体" w:asciiTheme="minorEastAsia" w:hAnsiTheme="minorEastAsia" w:eastAsiaTheme="minorEastAsia"/>
                <w:color w:val="auto"/>
                <w:sz w:val="16"/>
                <w:szCs w:val="15"/>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2" w:type="dxa"/>
            <w:tcBorders>
              <w:top w:val="single" w:color="auto" w:sz="4" w:space="0"/>
              <w:bottom w:val="single" w:color="auto" w:sz="4" w:space="0"/>
            </w:tcBorders>
            <w:noWrap/>
            <w:vAlign w:val="bottom"/>
          </w:tcPr>
          <w:p>
            <w:pPr>
              <w:rPr>
                <w:rFonts w:ascii="宋体" w:hAnsi="宋体"/>
                <w:color w:val="auto"/>
                <w:sz w:val="16"/>
                <w:szCs w:val="15"/>
              </w:rPr>
            </w:pPr>
            <w:r>
              <w:rPr>
                <w:rFonts w:hint="eastAsia" w:ascii="宋体" w:hAnsi="宋体"/>
                <w:color w:val="auto"/>
                <w:sz w:val="16"/>
                <w:szCs w:val="15"/>
              </w:rPr>
              <w:t>二、以后将重分类进损益的其他综合收益</w:t>
            </w:r>
          </w:p>
        </w:tc>
        <w:tc>
          <w:tcPr>
            <w:tcW w:w="1147" w:type="dxa"/>
            <w:tcBorders>
              <w:top w:val="single" w:color="auto" w:sz="4" w:space="0"/>
              <w:bottom w:val="single" w:color="auto" w:sz="4" w:space="0"/>
            </w:tcBorders>
            <w:noWrap/>
            <w:vAlign w:val="bottom"/>
          </w:tcPr>
          <w:p>
            <w:pPr>
              <w:jc w:val="right"/>
              <w:rPr>
                <w:rFonts w:cs="宋体" w:asciiTheme="minorEastAsia" w:hAnsiTheme="minorEastAsia" w:eastAsiaTheme="minorEastAsia"/>
                <w:color w:val="auto"/>
                <w:sz w:val="16"/>
                <w:szCs w:val="15"/>
              </w:rPr>
            </w:pPr>
            <w:r>
              <w:rPr>
                <w:rFonts w:ascii="宋体" w:hAnsi="宋体"/>
                <w:color w:val="auto"/>
                <w:sz w:val="16"/>
                <w:szCs w:val="15"/>
              </w:rPr>
              <w:t>56,755.28</w:t>
            </w:r>
          </w:p>
        </w:tc>
        <w:tc>
          <w:tcPr>
            <w:tcW w:w="114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r>
              <w:rPr>
                <w:rFonts w:ascii="宋体" w:hAnsi="宋体"/>
                <w:color w:val="auto"/>
                <w:sz w:val="16"/>
                <w:szCs w:val="15"/>
              </w:rPr>
              <w:t>-62,518.48</w:t>
            </w:r>
          </w:p>
        </w:tc>
        <w:tc>
          <w:tcPr>
            <w:tcW w:w="860"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71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114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r>
              <w:rPr>
                <w:rFonts w:ascii="宋体" w:hAnsi="宋体"/>
                <w:color w:val="auto"/>
                <w:sz w:val="16"/>
                <w:szCs w:val="15"/>
              </w:rPr>
              <w:t>-62,518.48</w:t>
            </w:r>
          </w:p>
        </w:tc>
        <w:tc>
          <w:tcPr>
            <w:tcW w:w="71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1148" w:type="dxa"/>
            <w:tcBorders>
              <w:top w:val="single" w:color="auto" w:sz="4" w:space="0"/>
              <w:bottom w:val="single" w:color="auto" w:sz="4" w:space="0"/>
            </w:tcBorders>
            <w:noWrap/>
            <w:vAlign w:val="bottom"/>
          </w:tcPr>
          <w:p>
            <w:pPr>
              <w:jc w:val="right"/>
              <w:rPr>
                <w:rFonts w:cs="宋体" w:asciiTheme="minorEastAsia" w:hAnsiTheme="minorEastAsia" w:eastAsiaTheme="minorEastAsia"/>
                <w:color w:val="auto"/>
                <w:sz w:val="16"/>
                <w:szCs w:val="15"/>
              </w:rPr>
            </w:pPr>
            <w:r>
              <w:rPr>
                <w:rFonts w:ascii="宋体" w:hAnsi="宋体"/>
                <w:color w:val="auto"/>
                <w:sz w:val="16"/>
                <w:szCs w:val="15"/>
              </w:rPr>
              <w:t>-5,763.20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3" w:hRule="exact"/>
        </w:trPr>
        <w:tc>
          <w:tcPr>
            <w:tcW w:w="2152" w:type="dxa"/>
            <w:tcBorders>
              <w:top w:val="single" w:color="auto" w:sz="4" w:space="0"/>
              <w:bottom w:val="single" w:color="auto" w:sz="4" w:space="0"/>
            </w:tcBorders>
            <w:noWrap/>
            <w:vAlign w:val="bottom"/>
          </w:tcPr>
          <w:p>
            <w:pPr>
              <w:rPr>
                <w:rFonts w:ascii="宋体" w:hAnsi="宋体"/>
                <w:color w:val="auto"/>
                <w:sz w:val="16"/>
                <w:szCs w:val="15"/>
              </w:rPr>
            </w:pPr>
            <w:r>
              <w:rPr>
                <w:rFonts w:hint="eastAsia" w:ascii="宋体" w:hAnsi="宋体"/>
                <w:color w:val="auto"/>
                <w:sz w:val="16"/>
                <w:szCs w:val="15"/>
              </w:rPr>
              <w:t>其中：权益法下在被投资单位以后将重分类进损益的其他综合收益中享有的份额</w:t>
            </w:r>
          </w:p>
        </w:tc>
        <w:tc>
          <w:tcPr>
            <w:tcW w:w="1147" w:type="dxa"/>
            <w:tcBorders>
              <w:top w:val="single" w:color="auto" w:sz="4" w:space="0"/>
              <w:bottom w:val="single" w:color="auto" w:sz="4" w:space="0"/>
            </w:tcBorders>
            <w:noWrap/>
            <w:vAlign w:val="bottom"/>
          </w:tcPr>
          <w:p>
            <w:pPr>
              <w:jc w:val="right"/>
              <w:rPr>
                <w:rFonts w:cs="宋体" w:asciiTheme="minorEastAsia" w:hAnsiTheme="minorEastAsia" w:eastAsiaTheme="minorEastAsia"/>
                <w:color w:val="auto"/>
                <w:sz w:val="16"/>
                <w:szCs w:val="15"/>
              </w:rPr>
            </w:pPr>
          </w:p>
        </w:tc>
        <w:tc>
          <w:tcPr>
            <w:tcW w:w="114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860"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71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114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71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1148" w:type="dxa"/>
            <w:tcBorders>
              <w:top w:val="single" w:color="auto" w:sz="4" w:space="0"/>
              <w:bottom w:val="single" w:color="auto" w:sz="4" w:space="0"/>
            </w:tcBorders>
            <w:noWrap/>
            <w:vAlign w:val="bottom"/>
          </w:tcPr>
          <w:p>
            <w:pPr>
              <w:ind w:right="336"/>
              <w:rPr>
                <w:rFonts w:cs="宋体" w:asciiTheme="minorEastAsia" w:hAnsiTheme="minorEastAsia" w:eastAsiaTheme="minorEastAsia"/>
                <w:color w:val="auto"/>
                <w:sz w:val="16"/>
                <w:szCs w:val="15"/>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2" w:type="dxa"/>
            <w:tcBorders>
              <w:top w:val="single" w:color="auto" w:sz="4" w:space="0"/>
              <w:bottom w:val="single" w:color="auto" w:sz="4" w:space="0"/>
            </w:tcBorders>
            <w:noWrap/>
            <w:vAlign w:val="bottom"/>
          </w:tcPr>
          <w:p>
            <w:pPr>
              <w:rPr>
                <w:rFonts w:ascii="宋体" w:hAnsi="宋体" w:cs="宋体"/>
                <w:color w:val="auto"/>
                <w:sz w:val="16"/>
                <w:szCs w:val="15"/>
              </w:rPr>
            </w:pPr>
            <w:r>
              <w:rPr>
                <w:rFonts w:hint="eastAsia" w:ascii="宋体" w:hAnsi="宋体"/>
                <w:color w:val="auto"/>
                <w:sz w:val="16"/>
                <w:szCs w:val="15"/>
              </w:rPr>
              <w:t>现金流量套期损益的有效部分</w:t>
            </w:r>
          </w:p>
        </w:tc>
        <w:tc>
          <w:tcPr>
            <w:tcW w:w="1147" w:type="dxa"/>
            <w:tcBorders>
              <w:top w:val="single" w:color="auto" w:sz="4" w:space="0"/>
              <w:bottom w:val="single" w:color="auto" w:sz="4" w:space="0"/>
            </w:tcBorders>
            <w:noWrap/>
            <w:vAlign w:val="bottom"/>
          </w:tcPr>
          <w:p>
            <w:pPr>
              <w:jc w:val="right"/>
              <w:rPr>
                <w:rFonts w:cs="宋体" w:asciiTheme="minorEastAsia" w:hAnsiTheme="minorEastAsia" w:eastAsiaTheme="minorEastAsia"/>
                <w:color w:val="auto"/>
                <w:sz w:val="16"/>
                <w:szCs w:val="15"/>
              </w:rPr>
            </w:pPr>
          </w:p>
        </w:tc>
        <w:tc>
          <w:tcPr>
            <w:tcW w:w="114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860"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71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114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718"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6"/>
                <w:szCs w:val="15"/>
              </w:rPr>
            </w:pPr>
          </w:p>
        </w:tc>
        <w:tc>
          <w:tcPr>
            <w:tcW w:w="1148" w:type="dxa"/>
            <w:tcBorders>
              <w:top w:val="single" w:color="auto" w:sz="4" w:space="0"/>
              <w:bottom w:val="single" w:color="auto" w:sz="4" w:space="0"/>
            </w:tcBorders>
            <w:noWrap/>
            <w:vAlign w:val="bottom"/>
          </w:tcPr>
          <w:p>
            <w:pPr>
              <w:jc w:val="right"/>
              <w:rPr>
                <w:rFonts w:cs="宋体" w:asciiTheme="minorEastAsia" w:hAnsiTheme="minorEastAsia" w:eastAsiaTheme="minorEastAsia"/>
                <w:color w:val="auto"/>
                <w:sz w:val="16"/>
                <w:szCs w:val="15"/>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2" w:type="dxa"/>
            <w:tcBorders>
              <w:top w:val="single" w:color="auto" w:sz="4" w:space="0"/>
              <w:bottom w:val="single" w:color="auto" w:sz="12" w:space="0"/>
            </w:tcBorders>
            <w:noWrap/>
            <w:vAlign w:val="bottom"/>
          </w:tcPr>
          <w:p>
            <w:pPr>
              <w:rPr>
                <w:rFonts w:ascii="宋体" w:hAnsi="宋体" w:cs="宋体"/>
                <w:color w:val="auto"/>
                <w:sz w:val="16"/>
                <w:szCs w:val="15"/>
              </w:rPr>
            </w:pPr>
            <w:r>
              <w:rPr>
                <w:rFonts w:hint="eastAsia" w:ascii="宋体" w:hAnsi="宋体"/>
                <w:color w:val="auto"/>
                <w:sz w:val="16"/>
                <w:szCs w:val="15"/>
              </w:rPr>
              <w:t>外币财务报表折算差额</w:t>
            </w:r>
          </w:p>
        </w:tc>
        <w:tc>
          <w:tcPr>
            <w:tcW w:w="1147" w:type="dxa"/>
            <w:tcBorders>
              <w:top w:val="single" w:color="auto" w:sz="4" w:space="0"/>
              <w:bottom w:val="single" w:color="auto" w:sz="12" w:space="0"/>
            </w:tcBorders>
            <w:noWrap/>
            <w:vAlign w:val="bottom"/>
          </w:tcPr>
          <w:p>
            <w:pPr>
              <w:jc w:val="right"/>
              <w:rPr>
                <w:rFonts w:cs="宋体" w:asciiTheme="minorEastAsia" w:hAnsiTheme="minorEastAsia" w:eastAsiaTheme="minorEastAsia"/>
                <w:color w:val="auto"/>
                <w:sz w:val="16"/>
                <w:szCs w:val="15"/>
              </w:rPr>
            </w:pPr>
            <w:r>
              <w:rPr>
                <w:rFonts w:ascii="宋体" w:hAnsi="宋体"/>
                <w:color w:val="auto"/>
                <w:sz w:val="16"/>
                <w:szCs w:val="15"/>
              </w:rPr>
              <w:t>56,755.28</w:t>
            </w:r>
          </w:p>
        </w:tc>
        <w:tc>
          <w:tcPr>
            <w:tcW w:w="1148" w:type="dxa"/>
            <w:tcBorders>
              <w:top w:val="single" w:color="auto" w:sz="4" w:space="0"/>
              <w:bottom w:val="single" w:color="auto" w:sz="12" w:space="0"/>
            </w:tcBorders>
            <w:vAlign w:val="bottom"/>
          </w:tcPr>
          <w:p>
            <w:pPr>
              <w:jc w:val="right"/>
              <w:rPr>
                <w:rFonts w:cs="宋体" w:asciiTheme="minorEastAsia" w:hAnsiTheme="minorEastAsia" w:eastAsiaTheme="minorEastAsia"/>
                <w:color w:val="auto"/>
                <w:sz w:val="16"/>
                <w:szCs w:val="15"/>
              </w:rPr>
            </w:pPr>
            <w:r>
              <w:rPr>
                <w:rFonts w:ascii="宋体" w:hAnsi="宋体"/>
                <w:color w:val="auto"/>
                <w:sz w:val="16"/>
                <w:szCs w:val="15"/>
              </w:rPr>
              <w:t>-62,518.48</w:t>
            </w:r>
          </w:p>
        </w:tc>
        <w:tc>
          <w:tcPr>
            <w:tcW w:w="860" w:type="dxa"/>
            <w:tcBorders>
              <w:top w:val="single" w:color="auto" w:sz="4" w:space="0"/>
              <w:bottom w:val="single" w:color="auto" w:sz="12" w:space="0"/>
            </w:tcBorders>
            <w:vAlign w:val="bottom"/>
          </w:tcPr>
          <w:p>
            <w:pPr>
              <w:jc w:val="right"/>
              <w:rPr>
                <w:rFonts w:cs="宋体" w:asciiTheme="minorEastAsia" w:hAnsiTheme="minorEastAsia" w:eastAsiaTheme="minorEastAsia"/>
                <w:color w:val="auto"/>
                <w:sz w:val="16"/>
                <w:szCs w:val="15"/>
              </w:rPr>
            </w:pPr>
          </w:p>
        </w:tc>
        <w:tc>
          <w:tcPr>
            <w:tcW w:w="718" w:type="dxa"/>
            <w:tcBorders>
              <w:top w:val="single" w:color="auto" w:sz="4" w:space="0"/>
              <w:bottom w:val="single" w:color="auto" w:sz="12" w:space="0"/>
            </w:tcBorders>
            <w:vAlign w:val="bottom"/>
          </w:tcPr>
          <w:p>
            <w:pPr>
              <w:jc w:val="right"/>
              <w:rPr>
                <w:rFonts w:cs="宋体" w:asciiTheme="minorEastAsia" w:hAnsiTheme="minorEastAsia" w:eastAsiaTheme="minorEastAsia"/>
                <w:color w:val="auto"/>
                <w:sz w:val="16"/>
                <w:szCs w:val="15"/>
              </w:rPr>
            </w:pPr>
          </w:p>
        </w:tc>
        <w:tc>
          <w:tcPr>
            <w:tcW w:w="1148" w:type="dxa"/>
            <w:tcBorders>
              <w:top w:val="single" w:color="auto" w:sz="4" w:space="0"/>
              <w:bottom w:val="single" w:color="auto" w:sz="12" w:space="0"/>
            </w:tcBorders>
            <w:vAlign w:val="bottom"/>
          </w:tcPr>
          <w:p>
            <w:pPr>
              <w:jc w:val="right"/>
              <w:rPr>
                <w:rFonts w:cs="宋体" w:asciiTheme="minorEastAsia" w:hAnsiTheme="minorEastAsia" w:eastAsiaTheme="minorEastAsia"/>
                <w:color w:val="auto"/>
                <w:sz w:val="16"/>
                <w:szCs w:val="15"/>
              </w:rPr>
            </w:pPr>
            <w:r>
              <w:rPr>
                <w:rFonts w:ascii="宋体" w:hAnsi="宋体"/>
                <w:color w:val="auto"/>
                <w:sz w:val="16"/>
                <w:szCs w:val="15"/>
              </w:rPr>
              <w:t>-62,518.48</w:t>
            </w:r>
          </w:p>
        </w:tc>
        <w:tc>
          <w:tcPr>
            <w:tcW w:w="718" w:type="dxa"/>
            <w:tcBorders>
              <w:top w:val="single" w:color="auto" w:sz="4" w:space="0"/>
              <w:bottom w:val="single" w:color="auto" w:sz="12" w:space="0"/>
            </w:tcBorders>
            <w:vAlign w:val="bottom"/>
          </w:tcPr>
          <w:p>
            <w:pPr>
              <w:jc w:val="right"/>
              <w:rPr>
                <w:rFonts w:cs="宋体" w:asciiTheme="minorEastAsia" w:hAnsiTheme="minorEastAsia" w:eastAsiaTheme="minorEastAsia"/>
                <w:color w:val="auto"/>
                <w:sz w:val="16"/>
                <w:szCs w:val="15"/>
              </w:rPr>
            </w:pPr>
          </w:p>
        </w:tc>
        <w:tc>
          <w:tcPr>
            <w:tcW w:w="1148" w:type="dxa"/>
            <w:tcBorders>
              <w:top w:val="single" w:color="auto" w:sz="4" w:space="0"/>
              <w:bottom w:val="single" w:color="auto" w:sz="12" w:space="0"/>
            </w:tcBorders>
            <w:noWrap/>
            <w:vAlign w:val="bottom"/>
          </w:tcPr>
          <w:p>
            <w:pPr>
              <w:jc w:val="right"/>
              <w:rPr>
                <w:rFonts w:cs="宋体" w:asciiTheme="minorEastAsia" w:hAnsiTheme="minorEastAsia" w:eastAsiaTheme="minorEastAsia"/>
                <w:color w:val="auto"/>
                <w:sz w:val="16"/>
                <w:szCs w:val="15"/>
              </w:rPr>
            </w:pPr>
            <w:r>
              <w:rPr>
                <w:rFonts w:ascii="宋体" w:hAnsi="宋体"/>
                <w:color w:val="auto"/>
                <w:sz w:val="16"/>
                <w:szCs w:val="15"/>
              </w:rPr>
              <w:t>-5,763.20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2" w:type="dxa"/>
            <w:tcBorders>
              <w:top w:val="single" w:color="auto" w:sz="12" w:space="0"/>
              <w:bottom w:val="single" w:color="auto" w:sz="12" w:space="0"/>
            </w:tcBorders>
            <w:noWrap/>
            <w:vAlign w:val="bottom"/>
          </w:tcPr>
          <w:p>
            <w:pPr>
              <w:jc w:val="center"/>
              <w:rPr>
                <w:rFonts w:ascii="宋体" w:hAnsi="宋体"/>
                <w:color w:val="auto"/>
                <w:sz w:val="16"/>
                <w:szCs w:val="15"/>
              </w:rPr>
            </w:pPr>
            <w:r>
              <w:rPr>
                <w:rFonts w:hint="eastAsia" w:ascii="宋体" w:cs="宋体"/>
                <w:b/>
                <w:color w:val="auto"/>
                <w:kern w:val="0"/>
                <w:sz w:val="15"/>
                <w:szCs w:val="15"/>
              </w:rPr>
              <w:t>其他综合收益合计</w:t>
            </w:r>
          </w:p>
        </w:tc>
        <w:tc>
          <w:tcPr>
            <w:tcW w:w="1147" w:type="dxa"/>
            <w:tcBorders>
              <w:top w:val="single" w:color="auto" w:sz="12" w:space="0"/>
              <w:bottom w:val="single" w:color="auto" w:sz="12" w:space="0"/>
            </w:tcBorders>
            <w:noWrap/>
            <w:vAlign w:val="bottom"/>
          </w:tcPr>
          <w:p>
            <w:pPr>
              <w:jc w:val="right"/>
              <w:rPr>
                <w:rFonts w:ascii="宋体" w:hAnsi="宋体"/>
                <w:color w:val="auto"/>
                <w:sz w:val="16"/>
                <w:szCs w:val="15"/>
              </w:rPr>
            </w:pPr>
            <w:r>
              <w:rPr>
                <w:rFonts w:ascii="宋体" w:hAnsi="宋体"/>
                <w:b/>
                <w:bCs/>
                <w:color w:val="auto"/>
                <w:sz w:val="16"/>
                <w:szCs w:val="15"/>
              </w:rPr>
              <w:t>56,755.28</w:t>
            </w:r>
          </w:p>
        </w:tc>
        <w:tc>
          <w:tcPr>
            <w:tcW w:w="1148" w:type="dxa"/>
            <w:tcBorders>
              <w:top w:val="single" w:color="auto" w:sz="12" w:space="0"/>
              <w:bottom w:val="single" w:color="auto" w:sz="12" w:space="0"/>
            </w:tcBorders>
            <w:vAlign w:val="bottom"/>
          </w:tcPr>
          <w:p>
            <w:pPr>
              <w:jc w:val="right"/>
              <w:rPr>
                <w:rFonts w:ascii="宋体" w:hAnsi="宋体"/>
                <w:color w:val="auto"/>
                <w:sz w:val="16"/>
                <w:szCs w:val="15"/>
              </w:rPr>
            </w:pPr>
            <w:r>
              <w:rPr>
                <w:rFonts w:ascii="宋体" w:hAnsi="宋体"/>
                <w:b/>
                <w:bCs/>
                <w:color w:val="auto"/>
                <w:sz w:val="16"/>
                <w:szCs w:val="15"/>
              </w:rPr>
              <w:t>-62,518.48</w:t>
            </w:r>
          </w:p>
        </w:tc>
        <w:tc>
          <w:tcPr>
            <w:tcW w:w="860" w:type="dxa"/>
            <w:tcBorders>
              <w:top w:val="single" w:color="auto" w:sz="12" w:space="0"/>
              <w:bottom w:val="single" w:color="auto" w:sz="12" w:space="0"/>
            </w:tcBorders>
            <w:vAlign w:val="bottom"/>
          </w:tcPr>
          <w:p>
            <w:pPr>
              <w:jc w:val="right"/>
              <w:rPr>
                <w:rFonts w:cs="宋体" w:asciiTheme="minorEastAsia" w:hAnsiTheme="minorEastAsia" w:eastAsiaTheme="minorEastAsia"/>
                <w:color w:val="auto"/>
                <w:sz w:val="16"/>
                <w:szCs w:val="15"/>
              </w:rPr>
            </w:pPr>
          </w:p>
        </w:tc>
        <w:tc>
          <w:tcPr>
            <w:tcW w:w="718" w:type="dxa"/>
            <w:tcBorders>
              <w:top w:val="single" w:color="auto" w:sz="12" w:space="0"/>
              <w:bottom w:val="single" w:color="auto" w:sz="12" w:space="0"/>
            </w:tcBorders>
            <w:vAlign w:val="bottom"/>
          </w:tcPr>
          <w:p>
            <w:pPr>
              <w:jc w:val="right"/>
              <w:rPr>
                <w:rFonts w:cs="宋体" w:asciiTheme="minorEastAsia" w:hAnsiTheme="minorEastAsia" w:eastAsiaTheme="minorEastAsia"/>
                <w:color w:val="auto"/>
                <w:sz w:val="16"/>
                <w:szCs w:val="15"/>
              </w:rPr>
            </w:pPr>
          </w:p>
        </w:tc>
        <w:tc>
          <w:tcPr>
            <w:tcW w:w="1148" w:type="dxa"/>
            <w:tcBorders>
              <w:top w:val="single" w:color="auto" w:sz="12" w:space="0"/>
              <w:bottom w:val="single" w:color="auto" w:sz="12" w:space="0"/>
            </w:tcBorders>
            <w:vAlign w:val="bottom"/>
          </w:tcPr>
          <w:p>
            <w:pPr>
              <w:jc w:val="right"/>
              <w:rPr>
                <w:rFonts w:cs="宋体" w:asciiTheme="minorEastAsia" w:hAnsiTheme="minorEastAsia" w:eastAsiaTheme="minorEastAsia"/>
                <w:color w:val="auto"/>
                <w:sz w:val="16"/>
                <w:szCs w:val="15"/>
              </w:rPr>
            </w:pPr>
            <w:r>
              <w:rPr>
                <w:rFonts w:ascii="宋体" w:hAnsi="宋体"/>
                <w:b/>
                <w:bCs/>
                <w:color w:val="auto"/>
                <w:sz w:val="16"/>
                <w:szCs w:val="15"/>
              </w:rPr>
              <w:t>-62,518.48</w:t>
            </w:r>
          </w:p>
        </w:tc>
        <w:tc>
          <w:tcPr>
            <w:tcW w:w="718" w:type="dxa"/>
            <w:tcBorders>
              <w:top w:val="single" w:color="auto" w:sz="12" w:space="0"/>
              <w:bottom w:val="single" w:color="auto" w:sz="12" w:space="0"/>
            </w:tcBorders>
            <w:vAlign w:val="bottom"/>
          </w:tcPr>
          <w:p>
            <w:pPr>
              <w:jc w:val="right"/>
              <w:rPr>
                <w:rFonts w:cs="宋体" w:asciiTheme="minorEastAsia" w:hAnsiTheme="minorEastAsia" w:eastAsiaTheme="minorEastAsia"/>
                <w:color w:val="auto"/>
                <w:sz w:val="16"/>
                <w:szCs w:val="15"/>
              </w:rPr>
            </w:pPr>
          </w:p>
        </w:tc>
        <w:tc>
          <w:tcPr>
            <w:tcW w:w="1148" w:type="dxa"/>
            <w:tcBorders>
              <w:top w:val="single" w:color="auto" w:sz="12" w:space="0"/>
              <w:bottom w:val="single" w:color="auto" w:sz="12" w:space="0"/>
            </w:tcBorders>
            <w:noWrap/>
            <w:vAlign w:val="bottom"/>
          </w:tcPr>
          <w:p>
            <w:pPr>
              <w:jc w:val="right"/>
              <w:rPr>
                <w:rFonts w:ascii="宋体" w:hAnsi="宋体"/>
                <w:color w:val="auto"/>
                <w:sz w:val="16"/>
                <w:szCs w:val="15"/>
              </w:rPr>
            </w:pPr>
            <w:r>
              <w:rPr>
                <w:rFonts w:ascii="宋体" w:hAnsi="宋体"/>
                <w:b/>
                <w:bCs/>
                <w:color w:val="auto"/>
                <w:sz w:val="16"/>
                <w:szCs w:val="15"/>
              </w:rPr>
              <w:t>-5,763.20</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32、盈余公积</w:t>
      </w:r>
    </w:p>
    <w:tbl>
      <w:tblPr>
        <w:tblStyle w:val="9"/>
        <w:tblW w:w="8824" w:type="dxa"/>
        <w:jc w:val="center"/>
        <w:tblCaption w:val="&quot;\\lisheng\共享\1、伟隆2022年度审计\1、2022年度审计\1、附注及报告\2022年\附注计算-伟隆 - 2022.xlsx&quot; &quot;2022附注格式!_ReportTable_0071&quot;"/>
        <w:tblDescription w:val="A564:E566"/>
        <w:tblLayout w:type="fixed"/>
        <w:tblCellMar>
          <w:top w:w="0" w:type="dxa"/>
          <w:left w:w="108" w:type="dxa"/>
          <w:bottom w:w="0" w:type="dxa"/>
          <w:right w:w="108" w:type="dxa"/>
        </w:tblCellMar>
      </w:tblPr>
      <w:tblGrid>
        <w:gridCol w:w="1782"/>
        <w:gridCol w:w="1760"/>
        <w:gridCol w:w="1761"/>
        <w:gridCol w:w="1760"/>
        <w:gridCol w:w="1761"/>
      </w:tblGrid>
      <w:tr>
        <w:tblPrEx>
          <w:tblCellMar>
            <w:top w:w="0" w:type="dxa"/>
            <w:left w:w="108" w:type="dxa"/>
            <w:bottom w:w="0" w:type="dxa"/>
            <w:right w:w="108" w:type="dxa"/>
          </w:tblCellMar>
        </w:tblPrEx>
        <w:trPr>
          <w:cantSplit/>
          <w:trHeight w:val="454" w:hRule="atLeast"/>
          <w:jc w:val="center"/>
        </w:trPr>
        <w:tc>
          <w:tcPr>
            <w:tcW w:w="1782" w:type="dxa"/>
            <w:tcBorders>
              <w:top w:val="single" w:color="auto" w:sz="12" w:space="0"/>
              <w:bottom w:val="single" w:color="auto" w:sz="12" w:space="0"/>
              <w:right w:val="single" w:color="auto" w:sz="4" w:space="0"/>
            </w:tcBorders>
            <w:vAlign w:val="center"/>
          </w:tcPr>
          <w:p>
            <w:pPr>
              <w:jc w:val="center"/>
              <w:rPr>
                <w:rFonts w:ascii="宋体" w:hAnsi="宋体"/>
                <w:b/>
                <w:bCs/>
                <w:snapToGrid w:val="0"/>
                <w:color w:val="auto"/>
                <w:kern w:val="0"/>
                <w:sz w:val="18"/>
                <w:szCs w:val="18"/>
              </w:rPr>
            </w:pPr>
            <w:r>
              <w:rPr>
                <w:rFonts w:hint="eastAsia" w:ascii="宋体" w:hAnsi="宋体" w:cs="宋体"/>
                <w:b/>
                <w:bCs/>
                <w:snapToGrid w:val="0"/>
                <w:color w:val="auto"/>
                <w:kern w:val="0"/>
                <w:sz w:val="18"/>
                <w:szCs w:val="18"/>
              </w:rPr>
              <w:t>项</w:t>
            </w:r>
            <w:r>
              <w:rPr>
                <w:rFonts w:ascii="宋体" w:hAnsi="宋体" w:cs="宋体"/>
                <w:b/>
                <w:bCs/>
                <w:snapToGrid w:val="0"/>
                <w:color w:val="auto"/>
                <w:kern w:val="0"/>
                <w:sz w:val="18"/>
                <w:szCs w:val="18"/>
              </w:rPr>
              <w:t xml:space="preserve">  目</w:t>
            </w:r>
          </w:p>
        </w:tc>
        <w:tc>
          <w:tcPr>
            <w:tcW w:w="1760" w:type="dxa"/>
            <w:tcBorders>
              <w:top w:val="single" w:color="auto" w:sz="12" w:space="0"/>
              <w:bottom w:val="single" w:color="auto" w:sz="12" w:space="0"/>
              <w:right w:val="single" w:color="auto" w:sz="4" w:space="0"/>
            </w:tcBorders>
            <w:vAlign w:val="center"/>
          </w:tcPr>
          <w:p>
            <w:pPr>
              <w:jc w:val="center"/>
              <w:rPr>
                <w:rFonts w:ascii="宋体" w:hAnsi="宋体"/>
                <w:b/>
                <w:bCs/>
                <w:snapToGrid w:val="0"/>
                <w:color w:val="auto"/>
                <w:kern w:val="0"/>
                <w:sz w:val="18"/>
                <w:szCs w:val="18"/>
              </w:rPr>
            </w:pPr>
            <w:r>
              <w:rPr>
                <w:rFonts w:hint="eastAsia" w:ascii="宋体" w:hAnsi="宋体" w:cs="宋体"/>
                <w:b/>
                <w:bCs/>
                <w:snapToGrid w:val="0"/>
                <w:color w:val="auto"/>
                <w:kern w:val="0"/>
                <w:sz w:val="18"/>
                <w:szCs w:val="18"/>
              </w:rPr>
              <w:t>期初余额</w:t>
            </w:r>
          </w:p>
        </w:tc>
        <w:tc>
          <w:tcPr>
            <w:tcW w:w="1761"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bCs/>
                <w:snapToGrid w:val="0"/>
                <w:color w:val="auto"/>
                <w:kern w:val="0"/>
                <w:sz w:val="18"/>
                <w:szCs w:val="18"/>
              </w:rPr>
            </w:pPr>
            <w:r>
              <w:rPr>
                <w:rFonts w:hint="eastAsia" w:ascii="宋体" w:hAnsi="宋体" w:cs="宋体"/>
                <w:b/>
                <w:bCs/>
                <w:snapToGrid w:val="0"/>
                <w:color w:val="auto"/>
                <w:kern w:val="0"/>
                <w:sz w:val="18"/>
                <w:szCs w:val="18"/>
              </w:rPr>
              <w:t>本期增加</w:t>
            </w:r>
          </w:p>
        </w:tc>
        <w:tc>
          <w:tcPr>
            <w:tcW w:w="1760"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bCs/>
                <w:snapToGrid w:val="0"/>
                <w:color w:val="auto"/>
                <w:kern w:val="0"/>
                <w:sz w:val="18"/>
                <w:szCs w:val="18"/>
              </w:rPr>
            </w:pPr>
            <w:r>
              <w:rPr>
                <w:rFonts w:hint="eastAsia" w:ascii="宋体" w:hAnsi="宋体" w:cs="宋体"/>
                <w:b/>
                <w:bCs/>
                <w:snapToGrid w:val="0"/>
                <w:color w:val="auto"/>
                <w:kern w:val="0"/>
                <w:sz w:val="18"/>
                <w:szCs w:val="18"/>
              </w:rPr>
              <w:t>本期减少</w:t>
            </w:r>
          </w:p>
        </w:tc>
        <w:tc>
          <w:tcPr>
            <w:tcW w:w="1761" w:type="dxa"/>
            <w:tcBorders>
              <w:top w:val="single" w:color="auto" w:sz="12" w:space="0"/>
              <w:left w:val="single" w:color="auto" w:sz="4" w:space="0"/>
              <w:bottom w:val="single" w:color="auto" w:sz="12" w:space="0"/>
            </w:tcBorders>
            <w:vAlign w:val="center"/>
          </w:tcPr>
          <w:p>
            <w:pPr>
              <w:jc w:val="center"/>
              <w:rPr>
                <w:rFonts w:ascii="宋体" w:hAnsi="宋体"/>
                <w:b/>
                <w:bCs/>
                <w:snapToGrid w:val="0"/>
                <w:color w:val="auto"/>
                <w:kern w:val="0"/>
                <w:sz w:val="18"/>
                <w:szCs w:val="18"/>
              </w:rPr>
            </w:pPr>
            <w:r>
              <w:rPr>
                <w:rFonts w:hint="eastAsia" w:ascii="宋体" w:hAnsi="宋体" w:cs="宋体"/>
                <w:b/>
                <w:bCs/>
                <w:snapToGrid w:val="0"/>
                <w:color w:val="auto"/>
                <w:kern w:val="0"/>
                <w:sz w:val="18"/>
                <w:szCs w:val="18"/>
              </w:rPr>
              <w:t>期末余额</w:t>
            </w:r>
          </w:p>
        </w:tc>
      </w:tr>
      <w:tr>
        <w:tblPrEx>
          <w:tblCellMar>
            <w:top w:w="0" w:type="dxa"/>
            <w:left w:w="108" w:type="dxa"/>
            <w:bottom w:w="0" w:type="dxa"/>
            <w:right w:w="108" w:type="dxa"/>
          </w:tblCellMar>
        </w:tblPrEx>
        <w:trPr>
          <w:cantSplit/>
          <w:trHeight w:val="454" w:hRule="atLeast"/>
          <w:jc w:val="center"/>
        </w:trPr>
        <w:tc>
          <w:tcPr>
            <w:tcW w:w="1782" w:type="dxa"/>
            <w:tcBorders>
              <w:top w:val="single" w:color="auto" w:sz="4" w:space="0"/>
              <w:bottom w:val="single" w:color="auto" w:sz="4" w:space="0"/>
              <w:right w:val="single" w:color="auto" w:sz="4" w:space="0"/>
            </w:tcBorders>
            <w:vAlign w:val="bottom"/>
          </w:tcPr>
          <w:p>
            <w:pPr>
              <w:rPr>
                <w:rFonts w:ascii="宋体" w:hAnsi="宋体"/>
                <w:snapToGrid w:val="0"/>
                <w:color w:val="auto"/>
                <w:kern w:val="0"/>
                <w:sz w:val="18"/>
                <w:szCs w:val="18"/>
              </w:rPr>
            </w:pPr>
            <w:r>
              <w:rPr>
                <w:rFonts w:hint="eastAsia" w:ascii="宋体" w:hAnsi="宋体" w:cs="宋体"/>
                <w:snapToGrid w:val="0"/>
                <w:color w:val="auto"/>
                <w:kern w:val="0"/>
                <w:sz w:val="18"/>
                <w:szCs w:val="18"/>
              </w:rPr>
              <w:t>法定盈余公积</w:t>
            </w:r>
          </w:p>
        </w:tc>
        <w:tc>
          <w:tcPr>
            <w:tcW w:w="1760" w:type="dxa"/>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58,404,405.20 </w:t>
            </w:r>
          </w:p>
        </w:tc>
        <w:tc>
          <w:tcPr>
            <w:tcW w:w="1761"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13,688,906.18 </w:t>
            </w:r>
          </w:p>
        </w:tc>
        <w:tc>
          <w:tcPr>
            <w:tcW w:w="1760"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1761" w:type="dxa"/>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72,093,311.38 </w:t>
            </w:r>
          </w:p>
        </w:tc>
      </w:tr>
      <w:tr>
        <w:tblPrEx>
          <w:tblCellMar>
            <w:top w:w="0" w:type="dxa"/>
            <w:left w:w="108" w:type="dxa"/>
            <w:bottom w:w="0" w:type="dxa"/>
            <w:right w:w="108" w:type="dxa"/>
          </w:tblCellMar>
        </w:tblPrEx>
        <w:trPr>
          <w:cantSplit/>
          <w:trHeight w:val="454" w:hRule="atLeast"/>
          <w:jc w:val="center"/>
        </w:trPr>
        <w:tc>
          <w:tcPr>
            <w:tcW w:w="1782" w:type="dxa"/>
            <w:tcBorders>
              <w:top w:val="single" w:color="auto" w:sz="12" w:space="0"/>
              <w:bottom w:val="single" w:color="auto" w:sz="12" w:space="0"/>
              <w:right w:val="single" w:color="auto" w:sz="4" w:space="0"/>
            </w:tcBorders>
            <w:vAlign w:val="bottom"/>
          </w:tcPr>
          <w:p>
            <w:pPr>
              <w:jc w:val="center"/>
              <w:rPr>
                <w:rFonts w:ascii="宋体" w:hAnsi="宋体"/>
                <w:b/>
                <w:bCs/>
                <w:snapToGrid w:val="0"/>
                <w:color w:val="auto"/>
                <w:kern w:val="0"/>
                <w:sz w:val="18"/>
                <w:szCs w:val="18"/>
              </w:rPr>
            </w:pPr>
            <w:r>
              <w:rPr>
                <w:rFonts w:hint="eastAsia" w:ascii="宋体" w:hAnsi="宋体" w:cs="宋体"/>
                <w:b/>
                <w:bCs/>
                <w:snapToGrid w:val="0"/>
                <w:color w:val="auto"/>
                <w:kern w:val="0"/>
                <w:sz w:val="18"/>
                <w:szCs w:val="18"/>
              </w:rPr>
              <w:t>合计</w:t>
            </w:r>
          </w:p>
        </w:tc>
        <w:tc>
          <w:tcPr>
            <w:tcW w:w="1760" w:type="dxa"/>
            <w:tcBorders>
              <w:top w:val="single" w:color="auto" w:sz="12"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58,404,405.20 </w:t>
            </w:r>
          </w:p>
        </w:tc>
        <w:tc>
          <w:tcPr>
            <w:tcW w:w="1761" w:type="dxa"/>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13,688,906.18 </w:t>
            </w:r>
          </w:p>
        </w:tc>
        <w:tc>
          <w:tcPr>
            <w:tcW w:w="1760" w:type="dxa"/>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w:t>
            </w:r>
          </w:p>
        </w:tc>
        <w:tc>
          <w:tcPr>
            <w:tcW w:w="1761" w:type="dxa"/>
            <w:tcBorders>
              <w:top w:val="single" w:color="auto" w:sz="12" w:space="0"/>
              <w:left w:val="single" w:color="auto" w:sz="4"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72,093,311.38 </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33、未分配利润</w:t>
      </w:r>
    </w:p>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）明细项目：</w:t>
      </w:r>
    </w:p>
    <w:tbl>
      <w:tblPr>
        <w:tblStyle w:val="9"/>
        <w:tblW w:w="4983" w:type="pct"/>
        <w:tblCaption w:val="&quot;\\lisheng\共享\1、伟隆2022年度审计\1、2022年度审计\1、附注及报告\2022年\附注计算-伟隆 - 2022.xlsx&quot; &quot;2022附注格式!_ReportTable_0072&quot;"/>
        <w:tblDescription w:val="A569:C580"/>
        <w:tblInd w:w="30" w:type="dxa"/>
        <w:tblLayout w:type="fixed"/>
        <w:tblCellMar>
          <w:top w:w="0" w:type="dxa"/>
          <w:left w:w="30" w:type="dxa"/>
          <w:bottom w:w="0" w:type="dxa"/>
          <w:right w:w="30" w:type="dxa"/>
        </w:tblCellMar>
      </w:tblPr>
      <w:tblGrid>
        <w:gridCol w:w="4156"/>
        <w:gridCol w:w="2754"/>
        <w:gridCol w:w="2754"/>
      </w:tblGrid>
      <w:tr>
        <w:tblPrEx>
          <w:tblCellMar>
            <w:top w:w="0" w:type="dxa"/>
            <w:left w:w="30" w:type="dxa"/>
            <w:bottom w:w="0" w:type="dxa"/>
            <w:right w:w="30" w:type="dxa"/>
          </w:tblCellMar>
        </w:tblPrEx>
        <w:trPr>
          <w:trHeight w:val="454" w:hRule="atLeast"/>
        </w:trPr>
        <w:tc>
          <w:tcPr>
            <w:tcW w:w="2150" w:type="pct"/>
            <w:tcBorders>
              <w:top w:val="single" w:color="auto" w:sz="12" w:space="0"/>
              <w:bottom w:val="single" w:color="auto" w:sz="12" w:space="0"/>
              <w:right w:val="single" w:color="auto" w:sz="4" w:space="0"/>
            </w:tcBorders>
            <w:vAlign w:val="bottom"/>
          </w:tcPr>
          <w:p>
            <w:pPr>
              <w:spacing w:line="360" w:lineRule="auto"/>
              <w:jc w:val="center"/>
              <w:rPr>
                <w:rFonts w:ascii="宋体"/>
                <w:b/>
                <w:color w:val="auto"/>
                <w:sz w:val="18"/>
                <w:szCs w:val="18"/>
              </w:rPr>
            </w:pPr>
            <w:r>
              <w:rPr>
                <w:rFonts w:hint="eastAsia" w:ascii="宋体" w:hAnsi="宋体"/>
                <w:b/>
                <w:color w:val="auto"/>
                <w:sz w:val="18"/>
                <w:szCs w:val="18"/>
              </w:rPr>
              <w:t>项</w:t>
            </w:r>
            <w:r>
              <w:rPr>
                <w:rFonts w:ascii="宋体" w:hAnsi="宋体"/>
                <w:b/>
                <w:color w:val="auto"/>
                <w:sz w:val="18"/>
                <w:szCs w:val="18"/>
              </w:rPr>
              <w:t xml:space="preserve">  目</w:t>
            </w:r>
          </w:p>
        </w:tc>
        <w:tc>
          <w:tcPr>
            <w:tcW w:w="1425" w:type="pct"/>
            <w:tcBorders>
              <w:top w:val="single" w:color="auto" w:sz="12" w:space="0"/>
              <w:bottom w:val="single" w:color="auto" w:sz="12" w:space="0"/>
              <w:right w:val="single" w:color="auto" w:sz="4" w:space="0"/>
            </w:tcBorders>
            <w:vAlign w:val="bottom"/>
          </w:tcPr>
          <w:p>
            <w:pPr>
              <w:spacing w:line="360" w:lineRule="auto"/>
              <w:jc w:val="center"/>
              <w:rPr>
                <w:rFonts w:ascii="宋体"/>
                <w:b/>
                <w:color w:val="auto"/>
                <w:sz w:val="18"/>
                <w:szCs w:val="18"/>
              </w:rPr>
            </w:pPr>
            <w:r>
              <w:rPr>
                <w:rFonts w:hint="eastAsia" w:ascii="宋体" w:hAnsi="宋体"/>
                <w:b/>
                <w:color w:val="auto"/>
                <w:sz w:val="18"/>
                <w:szCs w:val="18"/>
              </w:rPr>
              <w:t>本期</w:t>
            </w:r>
          </w:p>
        </w:tc>
        <w:tc>
          <w:tcPr>
            <w:tcW w:w="1425" w:type="pct"/>
            <w:tcBorders>
              <w:top w:val="single" w:color="auto" w:sz="12" w:space="0"/>
              <w:bottom w:val="single" w:color="auto" w:sz="12" w:space="0"/>
            </w:tcBorders>
            <w:vAlign w:val="bottom"/>
          </w:tcPr>
          <w:p>
            <w:pPr>
              <w:spacing w:line="360" w:lineRule="auto"/>
              <w:jc w:val="center"/>
              <w:rPr>
                <w:rFonts w:ascii="宋体" w:hAnsi="宋体"/>
                <w:b/>
                <w:color w:val="auto"/>
                <w:sz w:val="18"/>
                <w:szCs w:val="18"/>
              </w:rPr>
            </w:pPr>
            <w:r>
              <w:rPr>
                <w:rFonts w:hint="eastAsia" w:ascii="宋体" w:hAnsi="宋体"/>
                <w:b/>
                <w:color w:val="auto"/>
                <w:sz w:val="18"/>
                <w:szCs w:val="18"/>
              </w:rPr>
              <w:t>上期</w:t>
            </w:r>
          </w:p>
        </w:tc>
      </w:tr>
      <w:tr>
        <w:tblPrEx>
          <w:tblCellMar>
            <w:top w:w="0" w:type="dxa"/>
            <w:left w:w="30" w:type="dxa"/>
            <w:bottom w:w="0" w:type="dxa"/>
            <w:right w:w="30" w:type="dxa"/>
          </w:tblCellMar>
        </w:tblPrEx>
        <w:trPr>
          <w:trHeight w:val="454" w:hRule="atLeast"/>
        </w:trPr>
        <w:tc>
          <w:tcPr>
            <w:tcW w:w="2150" w:type="pct"/>
            <w:tcBorders>
              <w:top w:val="single" w:color="auto" w:sz="12"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调整前上期期末未分配利润</w:t>
            </w:r>
          </w:p>
        </w:tc>
        <w:tc>
          <w:tcPr>
            <w:tcW w:w="1425" w:type="pct"/>
            <w:tcBorders>
              <w:top w:val="single" w:color="auto" w:sz="12" w:space="0"/>
              <w:bottom w:val="single" w:color="auto" w:sz="4" w:space="0"/>
              <w:right w:val="single" w:color="auto" w:sz="4" w:space="0"/>
            </w:tcBorders>
            <w:vAlign w:val="bottom"/>
          </w:tcPr>
          <w:p>
            <w:pPr>
              <w:jc w:val="right"/>
              <w:rPr>
                <w:rFonts w:cs="宋体"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 xml:space="preserve">254,565,955.29 </w:t>
            </w:r>
          </w:p>
        </w:tc>
        <w:tc>
          <w:tcPr>
            <w:tcW w:w="1425" w:type="pct"/>
            <w:tcBorders>
              <w:top w:val="single" w:color="auto" w:sz="12" w:space="0"/>
              <w:bottom w:val="single" w:color="auto" w:sz="4" w:space="0"/>
            </w:tcBorders>
            <w:vAlign w:val="bottom"/>
          </w:tcPr>
          <w:p>
            <w:pPr>
              <w:jc w:val="right"/>
              <w:rPr>
                <w:rFonts w:cs="宋体" w:asciiTheme="majorEastAsia" w:hAnsiTheme="majorEastAsia" w:eastAsiaTheme="majorEastAsia"/>
                <w:b/>
                <w:color w:val="auto"/>
                <w:sz w:val="18"/>
                <w:szCs w:val="18"/>
              </w:rPr>
            </w:pPr>
            <w:r>
              <w:rPr>
                <w:rFonts w:hint="eastAsia" w:asciiTheme="minorEastAsia" w:hAnsiTheme="minorEastAsia" w:eastAsiaTheme="minorEastAsia"/>
                <w:b/>
                <w:color w:val="auto"/>
                <w:sz w:val="18"/>
                <w:szCs w:val="18"/>
              </w:rPr>
              <w:t xml:space="preserve">252,498,577.96 </w:t>
            </w:r>
          </w:p>
        </w:tc>
      </w:tr>
      <w:tr>
        <w:tblPrEx>
          <w:tblCellMar>
            <w:top w:w="0" w:type="dxa"/>
            <w:left w:w="30" w:type="dxa"/>
            <w:bottom w:w="0" w:type="dxa"/>
            <w:right w:w="30" w:type="dxa"/>
          </w:tblCellMar>
        </w:tblPrEx>
        <w:trPr>
          <w:trHeight w:val="454" w:hRule="atLeast"/>
        </w:trPr>
        <w:tc>
          <w:tcPr>
            <w:tcW w:w="2150"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调整期初未分配利润合计数（调增</w:t>
            </w:r>
            <w:r>
              <w:rPr>
                <w:rFonts w:ascii="宋体" w:hAnsi="宋体"/>
                <w:color w:val="auto"/>
                <w:sz w:val="18"/>
                <w:szCs w:val="18"/>
              </w:rPr>
              <w:t>+ 调减-）</w:t>
            </w:r>
          </w:p>
        </w:tc>
        <w:tc>
          <w:tcPr>
            <w:tcW w:w="1425"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　</w:t>
            </w:r>
          </w:p>
        </w:tc>
        <w:tc>
          <w:tcPr>
            <w:tcW w:w="1425" w:type="pct"/>
            <w:tcBorders>
              <w:top w:val="single" w:color="auto" w:sz="4" w:space="0"/>
              <w:bottom w:val="single" w:color="auto" w:sz="4" w:space="0"/>
            </w:tcBorders>
            <w:vAlign w:val="bottom"/>
          </w:tcPr>
          <w:p>
            <w:pPr>
              <w:jc w:val="right"/>
              <w:rPr>
                <w:rFonts w:cs="宋体" w:asciiTheme="majorEastAsia" w:hAnsiTheme="majorEastAsia" w:eastAsiaTheme="majorEastAsia"/>
                <w:b/>
                <w:color w:val="auto"/>
                <w:sz w:val="18"/>
                <w:szCs w:val="18"/>
              </w:rPr>
            </w:pPr>
            <w:r>
              <w:rPr>
                <w:rFonts w:hint="eastAsia" w:asciiTheme="minorEastAsia" w:hAnsiTheme="minorEastAsia" w:eastAsiaTheme="minorEastAsia"/>
                <w:b/>
                <w:color w:val="auto"/>
                <w:sz w:val="18"/>
                <w:szCs w:val="18"/>
              </w:rPr>
              <w:t>　</w:t>
            </w:r>
          </w:p>
        </w:tc>
      </w:tr>
      <w:tr>
        <w:tblPrEx>
          <w:tblCellMar>
            <w:top w:w="0" w:type="dxa"/>
            <w:left w:w="30" w:type="dxa"/>
            <w:bottom w:w="0" w:type="dxa"/>
            <w:right w:w="30" w:type="dxa"/>
          </w:tblCellMar>
        </w:tblPrEx>
        <w:trPr>
          <w:trHeight w:val="454" w:hRule="atLeast"/>
        </w:trPr>
        <w:tc>
          <w:tcPr>
            <w:tcW w:w="2150"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调整后期初未分配利润</w:t>
            </w:r>
          </w:p>
        </w:tc>
        <w:tc>
          <w:tcPr>
            <w:tcW w:w="1425"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 xml:space="preserve">254,565,955.29 </w:t>
            </w:r>
          </w:p>
        </w:tc>
        <w:tc>
          <w:tcPr>
            <w:tcW w:w="1425" w:type="pct"/>
            <w:tcBorders>
              <w:top w:val="single" w:color="auto" w:sz="4" w:space="0"/>
              <w:bottom w:val="single" w:color="auto" w:sz="4" w:space="0"/>
            </w:tcBorders>
            <w:vAlign w:val="bottom"/>
          </w:tcPr>
          <w:p>
            <w:pPr>
              <w:jc w:val="right"/>
              <w:rPr>
                <w:rFonts w:cs="宋体" w:asciiTheme="majorEastAsia" w:hAnsiTheme="majorEastAsia" w:eastAsiaTheme="majorEastAsia"/>
                <w:b/>
                <w:color w:val="auto"/>
                <w:sz w:val="18"/>
                <w:szCs w:val="18"/>
              </w:rPr>
            </w:pPr>
            <w:r>
              <w:rPr>
                <w:rFonts w:hint="eastAsia" w:asciiTheme="minorEastAsia" w:hAnsiTheme="minorEastAsia" w:eastAsiaTheme="minorEastAsia"/>
                <w:b/>
                <w:color w:val="auto"/>
                <w:sz w:val="18"/>
                <w:szCs w:val="18"/>
              </w:rPr>
              <w:t xml:space="preserve">252,498,577.96 </w:t>
            </w:r>
          </w:p>
        </w:tc>
      </w:tr>
      <w:tr>
        <w:tblPrEx>
          <w:tblCellMar>
            <w:top w:w="0" w:type="dxa"/>
            <w:left w:w="30" w:type="dxa"/>
            <w:bottom w:w="0" w:type="dxa"/>
            <w:right w:w="30" w:type="dxa"/>
          </w:tblCellMar>
        </w:tblPrEx>
        <w:trPr>
          <w:trHeight w:val="454" w:hRule="atLeast"/>
        </w:trPr>
        <w:tc>
          <w:tcPr>
            <w:tcW w:w="2150"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加：本期归属于母公司所有者的净利润</w:t>
            </w:r>
          </w:p>
        </w:tc>
        <w:tc>
          <w:tcPr>
            <w:tcW w:w="1425"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136,205,068.76 </w:t>
            </w:r>
          </w:p>
        </w:tc>
        <w:tc>
          <w:tcPr>
            <w:tcW w:w="1425"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60,993,488.79 </w:t>
            </w:r>
          </w:p>
        </w:tc>
      </w:tr>
      <w:tr>
        <w:tblPrEx>
          <w:tblCellMar>
            <w:top w:w="0" w:type="dxa"/>
            <w:left w:w="30" w:type="dxa"/>
            <w:bottom w:w="0" w:type="dxa"/>
            <w:right w:w="30" w:type="dxa"/>
          </w:tblCellMar>
        </w:tblPrEx>
        <w:trPr>
          <w:trHeight w:val="454" w:hRule="atLeast"/>
        </w:trPr>
        <w:tc>
          <w:tcPr>
            <w:tcW w:w="2150"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减：提取法定盈余公积</w:t>
            </w:r>
          </w:p>
        </w:tc>
        <w:tc>
          <w:tcPr>
            <w:tcW w:w="1425"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13,688,906.18 </w:t>
            </w:r>
          </w:p>
        </w:tc>
        <w:tc>
          <w:tcPr>
            <w:tcW w:w="1425"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6,431,811.46 </w:t>
            </w:r>
          </w:p>
        </w:tc>
      </w:tr>
      <w:tr>
        <w:tblPrEx>
          <w:tblCellMar>
            <w:top w:w="0" w:type="dxa"/>
            <w:left w:w="30" w:type="dxa"/>
            <w:bottom w:w="0" w:type="dxa"/>
            <w:right w:w="30" w:type="dxa"/>
          </w:tblCellMar>
        </w:tblPrEx>
        <w:trPr>
          <w:trHeight w:val="454" w:hRule="atLeast"/>
        </w:trPr>
        <w:tc>
          <w:tcPr>
            <w:tcW w:w="2150" w:type="pct"/>
            <w:tcBorders>
              <w:top w:val="single" w:color="auto" w:sz="4" w:space="0"/>
              <w:bottom w:val="single" w:color="auto" w:sz="4" w:space="0"/>
              <w:right w:val="single" w:color="auto" w:sz="4" w:space="0"/>
            </w:tcBorders>
            <w:vAlign w:val="bottom"/>
          </w:tcPr>
          <w:p>
            <w:pPr>
              <w:ind w:firstLine="360" w:firstLineChars="200"/>
              <w:rPr>
                <w:rFonts w:ascii="宋体" w:hAnsi="宋体"/>
                <w:color w:val="auto"/>
                <w:sz w:val="18"/>
                <w:szCs w:val="18"/>
              </w:rPr>
            </w:pPr>
            <w:r>
              <w:rPr>
                <w:rFonts w:hint="eastAsia" w:ascii="宋体" w:hAnsi="宋体"/>
                <w:color w:val="auto"/>
                <w:sz w:val="18"/>
                <w:szCs w:val="18"/>
              </w:rPr>
              <w:t>提取任意盈余公积</w:t>
            </w:r>
          </w:p>
        </w:tc>
        <w:tc>
          <w:tcPr>
            <w:tcW w:w="1425"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1425"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r>
      <w:tr>
        <w:tblPrEx>
          <w:tblCellMar>
            <w:top w:w="0" w:type="dxa"/>
            <w:left w:w="30" w:type="dxa"/>
            <w:bottom w:w="0" w:type="dxa"/>
            <w:right w:w="30" w:type="dxa"/>
          </w:tblCellMar>
        </w:tblPrEx>
        <w:trPr>
          <w:trHeight w:val="454" w:hRule="atLeast"/>
        </w:trPr>
        <w:tc>
          <w:tcPr>
            <w:tcW w:w="2150" w:type="pct"/>
            <w:tcBorders>
              <w:top w:val="single" w:color="auto" w:sz="4" w:space="0"/>
              <w:bottom w:val="single" w:color="auto" w:sz="4" w:space="0"/>
              <w:right w:val="single" w:color="auto" w:sz="4" w:space="0"/>
            </w:tcBorders>
            <w:vAlign w:val="bottom"/>
          </w:tcPr>
          <w:p>
            <w:pPr>
              <w:ind w:firstLine="360" w:firstLineChars="200"/>
              <w:rPr>
                <w:rFonts w:ascii="宋体" w:hAnsi="宋体"/>
                <w:color w:val="auto"/>
                <w:sz w:val="18"/>
                <w:szCs w:val="18"/>
              </w:rPr>
            </w:pPr>
            <w:r>
              <w:rPr>
                <w:rFonts w:hint="eastAsia" w:ascii="宋体" w:hAnsi="宋体"/>
                <w:color w:val="auto"/>
                <w:sz w:val="18"/>
                <w:szCs w:val="18"/>
              </w:rPr>
              <w:t>提取一般风险准备</w:t>
            </w:r>
          </w:p>
        </w:tc>
        <w:tc>
          <w:tcPr>
            <w:tcW w:w="1425"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1425"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r>
      <w:tr>
        <w:tblPrEx>
          <w:tblCellMar>
            <w:top w:w="0" w:type="dxa"/>
            <w:left w:w="30" w:type="dxa"/>
            <w:bottom w:w="0" w:type="dxa"/>
            <w:right w:w="30" w:type="dxa"/>
          </w:tblCellMar>
        </w:tblPrEx>
        <w:trPr>
          <w:trHeight w:val="454" w:hRule="atLeast"/>
        </w:trPr>
        <w:tc>
          <w:tcPr>
            <w:tcW w:w="2150" w:type="pct"/>
            <w:tcBorders>
              <w:top w:val="single" w:color="auto" w:sz="4" w:space="0"/>
              <w:bottom w:val="single" w:color="auto" w:sz="4" w:space="0"/>
              <w:right w:val="single" w:color="auto" w:sz="4" w:space="0"/>
            </w:tcBorders>
            <w:vAlign w:val="bottom"/>
          </w:tcPr>
          <w:p>
            <w:pPr>
              <w:ind w:firstLine="360" w:firstLineChars="200"/>
              <w:rPr>
                <w:rFonts w:ascii="宋体" w:hAnsi="宋体"/>
                <w:color w:val="auto"/>
                <w:sz w:val="18"/>
                <w:szCs w:val="18"/>
              </w:rPr>
            </w:pPr>
            <w:r>
              <w:rPr>
                <w:rFonts w:hint="eastAsia" w:ascii="宋体" w:hAnsi="宋体"/>
                <w:color w:val="auto"/>
                <w:sz w:val="18"/>
                <w:szCs w:val="18"/>
              </w:rPr>
              <w:t>应付普通股股利</w:t>
            </w:r>
          </w:p>
        </w:tc>
        <w:tc>
          <w:tcPr>
            <w:tcW w:w="1425"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58,957,332.70 </w:t>
            </w:r>
          </w:p>
        </w:tc>
        <w:tc>
          <w:tcPr>
            <w:tcW w:w="1425"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52,494,300.00 </w:t>
            </w:r>
          </w:p>
        </w:tc>
      </w:tr>
      <w:tr>
        <w:tblPrEx>
          <w:tblCellMar>
            <w:top w:w="0" w:type="dxa"/>
            <w:left w:w="30" w:type="dxa"/>
            <w:bottom w:w="0" w:type="dxa"/>
            <w:right w:w="30" w:type="dxa"/>
          </w:tblCellMar>
        </w:tblPrEx>
        <w:trPr>
          <w:trHeight w:val="454" w:hRule="atLeast"/>
        </w:trPr>
        <w:tc>
          <w:tcPr>
            <w:tcW w:w="2150" w:type="pct"/>
            <w:tcBorders>
              <w:top w:val="single" w:color="auto" w:sz="4" w:space="0"/>
              <w:bottom w:val="single" w:color="auto" w:sz="4" w:space="0"/>
              <w:right w:val="single" w:color="auto" w:sz="4" w:space="0"/>
            </w:tcBorders>
            <w:vAlign w:val="bottom"/>
          </w:tcPr>
          <w:p>
            <w:pPr>
              <w:ind w:firstLine="360" w:firstLineChars="200"/>
              <w:rPr>
                <w:rFonts w:ascii="宋体" w:hAnsi="宋体"/>
                <w:color w:val="auto"/>
                <w:sz w:val="18"/>
                <w:szCs w:val="18"/>
              </w:rPr>
            </w:pPr>
            <w:r>
              <w:rPr>
                <w:rFonts w:hint="eastAsia" w:ascii="宋体" w:hAnsi="宋体"/>
                <w:color w:val="auto"/>
                <w:sz w:val="18"/>
                <w:szCs w:val="18"/>
              </w:rPr>
              <w:t>转作股本的普通股股利</w:t>
            </w:r>
          </w:p>
        </w:tc>
        <w:tc>
          <w:tcPr>
            <w:tcW w:w="1425"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1425"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r>
      <w:tr>
        <w:tblPrEx>
          <w:tblCellMar>
            <w:top w:w="0" w:type="dxa"/>
            <w:left w:w="30" w:type="dxa"/>
            <w:bottom w:w="0" w:type="dxa"/>
            <w:right w:w="30" w:type="dxa"/>
          </w:tblCellMar>
        </w:tblPrEx>
        <w:trPr>
          <w:trHeight w:val="454" w:hRule="atLeast"/>
        </w:trPr>
        <w:tc>
          <w:tcPr>
            <w:tcW w:w="2150" w:type="pct"/>
            <w:tcBorders>
              <w:top w:val="single" w:color="auto" w:sz="4" w:space="0"/>
              <w:bottom w:val="single" w:color="auto" w:sz="12" w:space="0"/>
              <w:right w:val="single" w:color="auto" w:sz="4" w:space="0"/>
            </w:tcBorders>
            <w:vAlign w:val="bottom"/>
          </w:tcPr>
          <w:p>
            <w:pPr>
              <w:ind w:firstLine="360" w:firstLineChars="200"/>
              <w:rPr>
                <w:rFonts w:ascii="宋体" w:hAnsi="宋体"/>
                <w:color w:val="auto"/>
                <w:sz w:val="18"/>
                <w:szCs w:val="18"/>
              </w:rPr>
            </w:pPr>
            <w:r>
              <w:rPr>
                <w:rFonts w:hint="eastAsia" w:ascii="宋体" w:hAnsi="宋体"/>
                <w:color w:val="auto"/>
                <w:sz w:val="18"/>
                <w:szCs w:val="18"/>
              </w:rPr>
              <w:t>股东权益内部结转</w:t>
            </w:r>
          </w:p>
        </w:tc>
        <w:tc>
          <w:tcPr>
            <w:tcW w:w="1425" w:type="pct"/>
            <w:tcBorders>
              <w:top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1425" w:type="pct"/>
            <w:tcBorders>
              <w:top w:val="single" w:color="auto" w:sz="4" w:space="0"/>
              <w:bottom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r>
      <w:tr>
        <w:tblPrEx>
          <w:tblCellMar>
            <w:top w:w="0" w:type="dxa"/>
            <w:left w:w="30" w:type="dxa"/>
            <w:bottom w:w="0" w:type="dxa"/>
            <w:right w:w="30" w:type="dxa"/>
          </w:tblCellMar>
        </w:tblPrEx>
        <w:trPr>
          <w:trHeight w:val="454" w:hRule="atLeast"/>
        </w:trPr>
        <w:tc>
          <w:tcPr>
            <w:tcW w:w="2150" w:type="pct"/>
            <w:tcBorders>
              <w:top w:val="single" w:color="auto" w:sz="12" w:space="0"/>
              <w:bottom w:val="single" w:color="auto" w:sz="12" w:space="0"/>
              <w:right w:val="single" w:color="auto" w:sz="4" w:space="0"/>
            </w:tcBorders>
            <w:vAlign w:val="bottom"/>
          </w:tcPr>
          <w:p>
            <w:pPr>
              <w:rPr>
                <w:rFonts w:ascii="宋体" w:hAnsi="宋体"/>
                <w:b/>
                <w:bCs/>
                <w:color w:val="auto"/>
                <w:sz w:val="18"/>
                <w:szCs w:val="18"/>
              </w:rPr>
            </w:pPr>
            <w:r>
              <w:rPr>
                <w:rFonts w:hint="eastAsia" w:ascii="宋体" w:hAnsi="宋体"/>
                <w:b/>
                <w:color w:val="auto"/>
                <w:sz w:val="18"/>
                <w:szCs w:val="18"/>
              </w:rPr>
              <w:t>期末未分配利润</w:t>
            </w:r>
          </w:p>
        </w:tc>
        <w:tc>
          <w:tcPr>
            <w:tcW w:w="1425" w:type="pct"/>
            <w:tcBorders>
              <w:top w:val="single" w:color="auto" w:sz="12"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318,124,785.17 </w:t>
            </w:r>
          </w:p>
        </w:tc>
        <w:tc>
          <w:tcPr>
            <w:tcW w:w="1425" w:type="pct"/>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254,565,955.29 </w:t>
            </w:r>
          </w:p>
        </w:tc>
      </w:tr>
    </w:tbl>
    <w:p>
      <w:pPr>
        <w:spacing w:before="150" w:beforeLines="50" w:line="360" w:lineRule="auto"/>
        <w:ind w:firstLine="420" w:firstLineChars="200"/>
        <w:rPr>
          <w:rFonts w:ascii="宋体" w:hAnsi="宋体" w:cs="宋体"/>
          <w:snapToGrid w:val="0"/>
          <w:color w:val="auto"/>
          <w:kern w:val="0"/>
          <w:szCs w:val="21"/>
        </w:rPr>
      </w:pPr>
      <w:bookmarkStart w:id="31" w:name="OLE_LINK17"/>
      <w:bookmarkStart w:id="32" w:name="OLE_LINK28"/>
      <w:r>
        <w:rPr>
          <w:rFonts w:hint="eastAsia" w:ascii="宋体" w:hAnsi="宋体"/>
          <w:bCs/>
          <w:color w:val="auto"/>
          <w:szCs w:val="21"/>
        </w:rPr>
        <w:t>（2）</w:t>
      </w:r>
      <w:bookmarkEnd w:id="31"/>
      <w:bookmarkEnd w:id="32"/>
      <w:r>
        <w:rPr>
          <w:rFonts w:hint="eastAsia" w:ascii="宋体" w:hAnsi="宋体" w:cs="宋体"/>
          <w:snapToGrid w:val="0"/>
          <w:color w:val="auto"/>
          <w:szCs w:val="21"/>
        </w:rPr>
        <w:t>2022年5月，根据公司2021年度股东大会决议通过的《关于2021年度利润分配及资本公积金转增股本预案的议案》，以 2021 年12 月 31 日公司总股本 169,032,648 股，剔除因公司通过集中竞价交易方式回购的、依法不参与利润分配的股份 427,626股之后的股本总额168,605,022 股为基数，向全体股东每10股派发现金红利3.50元（含税），共派发现金红利</w:t>
      </w:r>
      <w:r>
        <w:rPr>
          <w:rFonts w:ascii="宋体" w:hAnsi="宋体" w:cs="宋体"/>
          <w:snapToGrid w:val="0"/>
          <w:color w:val="auto"/>
          <w:szCs w:val="21"/>
        </w:rPr>
        <w:t>58,957,332.70</w:t>
      </w:r>
      <w:r>
        <w:rPr>
          <w:rFonts w:hint="eastAsia" w:ascii="宋体" w:hAnsi="宋体" w:cs="宋体"/>
          <w:snapToGrid w:val="0"/>
          <w:color w:val="auto"/>
          <w:szCs w:val="21"/>
        </w:rPr>
        <w:t>（含税）。</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34、营业收入及营业成本</w:t>
      </w:r>
    </w:p>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）总体列示：</w:t>
      </w:r>
    </w:p>
    <w:tbl>
      <w:tblPr>
        <w:tblStyle w:val="9"/>
        <w:tblW w:w="8931" w:type="dxa"/>
        <w:tblCaption w:val="&quot;\\lisheng\共享\1、伟隆2022年度审计\1、2022年度审计\1、附注及报告\2022年\附注计算-伟隆 - 2022.xlsx&quot; &quot;2022附注格式!_ReportTable_0073&quot;"/>
        <w:tblDescription w:val="A584:E588"/>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908"/>
        <w:gridCol w:w="1908"/>
        <w:gridCol w:w="1908"/>
        <w:gridCol w:w="17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9" w:type="dxa"/>
            <w:vMerge w:val="restart"/>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项</w:t>
            </w:r>
            <w:r>
              <w:rPr>
                <w:rFonts w:ascii="宋体" w:hAnsi="宋体"/>
                <w:b/>
                <w:color w:val="auto"/>
                <w:kern w:val="0"/>
                <w:sz w:val="18"/>
                <w:szCs w:val="18"/>
              </w:rPr>
              <w:t>目</w:t>
            </w:r>
          </w:p>
        </w:tc>
        <w:tc>
          <w:tcPr>
            <w:tcW w:w="3816" w:type="dxa"/>
            <w:gridSpan w:val="2"/>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本期发生额</w:t>
            </w:r>
          </w:p>
        </w:tc>
        <w:tc>
          <w:tcPr>
            <w:tcW w:w="3676" w:type="dxa"/>
            <w:gridSpan w:val="2"/>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上期发生额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9" w:type="dxa"/>
            <w:vMerge w:val="continue"/>
            <w:tcBorders>
              <w:bottom w:val="single" w:color="auto" w:sz="12" w:space="0"/>
            </w:tcBorders>
            <w:shd w:val="clear" w:color="auto" w:fill="auto"/>
          </w:tcPr>
          <w:p>
            <w:pPr>
              <w:jc w:val="center"/>
              <w:rPr>
                <w:rFonts w:ascii="宋体" w:hAnsi="宋体"/>
                <w:color w:val="auto"/>
                <w:kern w:val="0"/>
                <w:sz w:val="18"/>
                <w:szCs w:val="18"/>
              </w:rPr>
            </w:pPr>
          </w:p>
        </w:tc>
        <w:tc>
          <w:tcPr>
            <w:tcW w:w="1908" w:type="dxa"/>
            <w:tcBorders>
              <w:bottom w:val="single" w:color="auto" w:sz="12" w:space="0"/>
            </w:tcBorders>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收入</w:t>
            </w:r>
          </w:p>
        </w:tc>
        <w:tc>
          <w:tcPr>
            <w:tcW w:w="1908" w:type="dxa"/>
            <w:tcBorders>
              <w:bottom w:val="single" w:color="auto" w:sz="12" w:space="0"/>
            </w:tcBorders>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成本</w:t>
            </w:r>
          </w:p>
        </w:tc>
        <w:tc>
          <w:tcPr>
            <w:tcW w:w="1908" w:type="dxa"/>
            <w:tcBorders>
              <w:bottom w:val="single" w:color="auto" w:sz="12" w:space="0"/>
            </w:tcBorders>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收入</w:t>
            </w:r>
          </w:p>
        </w:tc>
        <w:tc>
          <w:tcPr>
            <w:tcW w:w="1768" w:type="dxa"/>
            <w:tcBorders>
              <w:bottom w:val="single" w:color="auto" w:sz="12" w:space="0"/>
            </w:tcBorders>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成本</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9" w:type="dxa"/>
            <w:tcBorders>
              <w:top w:val="single" w:color="auto" w:sz="12" w:space="0"/>
              <w:bottom w:val="single" w:color="auto" w:sz="4" w:space="0"/>
            </w:tcBorders>
            <w:shd w:val="clear" w:color="auto" w:fill="auto"/>
            <w:vAlign w:val="bottom"/>
          </w:tcPr>
          <w:p>
            <w:pPr>
              <w:rPr>
                <w:rFonts w:ascii="宋体" w:hAnsi="宋体"/>
                <w:color w:val="auto"/>
                <w:kern w:val="0"/>
                <w:sz w:val="18"/>
                <w:szCs w:val="18"/>
              </w:rPr>
            </w:pPr>
            <w:r>
              <w:rPr>
                <w:rFonts w:hint="eastAsia" w:ascii="宋体" w:hAnsi="宋体"/>
                <w:color w:val="auto"/>
                <w:kern w:val="0"/>
                <w:sz w:val="18"/>
                <w:szCs w:val="18"/>
              </w:rPr>
              <w:t>主营业务</w:t>
            </w:r>
          </w:p>
        </w:tc>
        <w:tc>
          <w:tcPr>
            <w:tcW w:w="1908" w:type="dxa"/>
            <w:tcBorders>
              <w:top w:val="single" w:color="auto" w:sz="12" w:space="0"/>
              <w:bottom w:val="single" w:color="auto" w:sz="4" w:space="0"/>
            </w:tcBorders>
            <w:shd w:val="clear" w:color="auto" w:fill="auto"/>
            <w:vAlign w:val="bottom"/>
          </w:tcPr>
          <w:p>
            <w:pPr>
              <w:jc w:val="right"/>
              <w:rPr>
                <w:rFonts w:ascii="宋体" w:hAnsi="宋体" w:cs="宋体"/>
                <w:color w:val="auto"/>
                <w:sz w:val="18"/>
                <w:szCs w:val="18"/>
              </w:rPr>
            </w:pPr>
            <w:r>
              <w:rPr>
                <w:rFonts w:ascii="宋体" w:hAnsi="宋体"/>
                <w:color w:val="auto"/>
                <w:sz w:val="18"/>
                <w:szCs w:val="18"/>
              </w:rPr>
              <w:t>534,961,316.04</w:t>
            </w:r>
          </w:p>
        </w:tc>
        <w:tc>
          <w:tcPr>
            <w:tcW w:w="1908" w:type="dxa"/>
            <w:tcBorders>
              <w:top w:val="single" w:color="auto" w:sz="12" w:space="0"/>
              <w:bottom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334,769,095.46 </w:t>
            </w:r>
          </w:p>
        </w:tc>
        <w:tc>
          <w:tcPr>
            <w:tcW w:w="1908" w:type="dxa"/>
            <w:tcBorders>
              <w:top w:val="single" w:color="auto" w:sz="12" w:space="0"/>
              <w:bottom w:val="single" w:color="auto" w:sz="4" w:space="0"/>
            </w:tcBorders>
            <w:shd w:val="clear" w:color="auto" w:fill="auto"/>
            <w:vAlign w:val="bottom"/>
          </w:tcPr>
          <w:p>
            <w:pPr>
              <w:jc w:val="right"/>
              <w:rPr>
                <w:rFonts w:ascii="宋体" w:hAnsi="宋体" w:cs="宋体"/>
                <w:color w:val="auto"/>
                <w:sz w:val="18"/>
                <w:szCs w:val="18"/>
              </w:rPr>
            </w:pPr>
            <w:r>
              <w:rPr>
                <w:rFonts w:hint="eastAsia" w:asciiTheme="minorEastAsia" w:hAnsiTheme="minorEastAsia" w:eastAsiaTheme="minorEastAsia"/>
                <w:color w:val="auto"/>
                <w:sz w:val="18"/>
                <w:szCs w:val="18"/>
              </w:rPr>
              <w:t xml:space="preserve">411,754,090.08 </w:t>
            </w:r>
          </w:p>
        </w:tc>
        <w:tc>
          <w:tcPr>
            <w:tcW w:w="1768" w:type="dxa"/>
            <w:tcBorders>
              <w:top w:val="single" w:color="auto" w:sz="12" w:space="0"/>
              <w:bottom w:val="single" w:color="auto" w:sz="4" w:space="0"/>
            </w:tcBorders>
            <w:shd w:val="clear" w:color="auto" w:fill="auto"/>
            <w:vAlign w:val="bottom"/>
          </w:tcPr>
          <w:p>
            <w:pPr>
              <w:jc w:val="right"/>
              <w:rPr>
                <w:rFonts w:asciiTheme="majorEastAsia" w:hAnsiTheme="majorEastAsia" w:eastAsiaTheme="majorEastAsia" w:cstheme="minorHAnsi"/>
                <w:color w:val="auto"/>
                <w:sz w:val="18"/>
                <w:szCs w:val="18"/>
              </w:rPr>
            </w:pPr>
            <w:r>
              <w:rPr>
                <w:rFonts w:hint="eastAsia" w:asciiTheme="minorEastAsia" w:hAnsiTheme="minorEastAsia" w:eastAsiaTheme="minorEastAsia"/>
                <w:color w:val="auto"/>
                <w:sz w:val="18"/>
                <w:szCs w:val="18"/>
              </w:rPr>
              <w:t xml:space="preserve">278,675,723.03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439" w:type="dxa"/>
            <w:tcBorders>
              <w:top w:val="single" w:color="auto" w:sz="4" w:space="0"/>
              <w:bottom w:val="single" w:color="auto" w:sz="12" w:space="0"/>
            </w:tcBorders>
            <w:shd w:val="clear" w:color="auto" w:fill="auto"/>
            <w:vAlign w:val="bottom"/>
          </w:tcPr>
          <w:p>
            <w:pPr>
              <w:rPr>
                <w:rFonts w:ascii="宋体" w:hAnsi="宋体"/>
                <w:color w:val="auto"/>
                <w:kern w:val="0"/>
                <w:sz w:val="18"/>
                <w:szCs w:val="18"/>
              </w:rPr>
            </w:pPr>
            <w:r>
              <w:rPr>
                <w:rFonts w:hint="eastAsia" w:ascii="宋体" w:hAnsi="宋体"/>
                <w:color w:val="auto"/>
                <w:kern w:val="0"/>
                <w:sz w:val="18"/>
                <w:szCs w:val="18"/>
              </w:rPr>
              <w:t>其他业务</w:t>
            </w:r>
          </w:p>
        </w:tc>
        <w:tc>
          <w:tcPr>
            <w:tcW w:w="1908" w:type="dxa"/>
            <w:tcBorders>
              <w:top w:val="single" w:color="auto" w:sz="4" w:space="0"/>
              <w:bottom w:val="single" w:color="auto" w:sz="12" w:space="0"/>
            </w:tcBorders>
            <w:shd w:val="clear" w:color="auto" w:fill="auto"/>
            <w:vAlign w:val="bottom"/>
          </w:tcPr>
          <w:p>
            <w:pPr>
              <w:jc w:val="right"/>
              <w:rPr>
                <w:rFonts w:ascii="宋体" w:hAnsi="宋体" w:cs="宋体"/>
                <w:color w:val="auto"/>
                <w:sz w:val="18"/>
                <w:szCs w:val="18"/>
              </w:rPr>
            </w:pPr>
            <w:r>
              <w:rPr>
                <w:rFonts w:ascii="宋体" w:hAnsi="宋体"/>
                <w:color w:val="auto"/>
                <w:sz w:val="18"/>
                <w:szCs w:val="18"/>
              </w:rPr>
              <w:t>5,180,329.60</w:t>
            </w:r>
          </w:p>
        </w:tc>
        <w:tc>
          <w:tcPr>
            <w:tcW w:w="1908" w:type="dxa"/>
            <w:tcBorders>
              <w:top w:val="single" w:color="auto" w:sz="4" w:space="0"/>
              <w:bottom w:val="single" w:color="auto" w:sz="12" w:space="0"/>
            </w:tcBorders>
            <w:shd w:val="clear" w:color="auto" w:fill="auto"/>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2,871,794.41 </w:t>
            </w:r>
          </w:p>
        </w:tc>
        <w:tc>
          <w:tcPr>
            <w:tcW w:w="1908" w:type="dxa"/>
            <w:tcBorders>
              <w:top w:val="single" w:color="auto" w:sz="4" w:space="0"/>
              <w:bottom w:val="single" w:color="auto" w:sz="12" w:space="0"/>
            </w:tcBorders>
            <w:shd w:val="clear" w:color="auto" w:fill="auto"/>
            <w:vAlign w:val="bottom"/>
          </w:tcPr>
          <w:p>
            <w:pPr>
              <w:jc w:val="right"/>
              <w:rPr>
                <w:rFonts w:ascii="宋体" w:hAnsi="宋体" w:cs="宋体"/>
                <w:color w:val="auto"/>
                <w:sz w:val="18"/>
                <w:szCs w:val="18"/>
              </w:rPr>
            </w:pPr>
            <w:r>
              <w:rPr>
                <w:rFonts w:hint="eastAsia" w:asciiTheme="minorEastAsia" w:hAnsiTheme="minorEastAsia" w:eastAsiaTheme="minorEastAsia"/>
                <w:color w:val="auto"/>
                <w:sz w:val="18"/>
                <w:szCs w:val="18"/>
              </w:rPr>
              <w:t xml:space="preserve">3,408,653.62 </w:t>
            </w:r>
          </w:p>
        </w:tc>
        <w:tc>
          <w:tcPr>
            <w:tcW w:w="1768" w:type="dxa"/>
            <w:tcBorders>
              <w:top w:val="single" w:color="auto" w:sz="4" w:space="0"/>
              <w:bottom w:val="single" w:color="auto" w:sz="12" w:space="0"/>
            </w:tcBorders>
            <w:shd w:val="clear" w:color="auto" w:fill="auto"/>
            <w:vAlign w:val="bottom"/>
          </w:tcPr>
          <w:p>
            <w:pPr>
              <w:jc w:val="right"/>
              <w:rPr>
                <w:rFonts w:asciiTheme="majorEastAsia" w:hAnsiTheme="majorEastAsia" w:eastAsiaTheme="majorEastAsia" w:cstheme="minorHAnsi"/>
                <w:color w:val="auto"/>
                <w:sz w:val="18"/>
                <w:szCs w:val="18"/>
              </w:rPr>
            </w:pPr>
            <w:r>
              <w:rPr>
                <w:rFonts w:hint="eastAsia" w:asciiTheme="minorEastAsia" w:hAnsiTheme="minorEastAsia" w:eastAsiaTheme="minorEastAsia"/>
                <w:color w:val="auto"/>
                <w:sz w:val="18"/>
                <w:szCs w:val="18"/>
              </w:rPr>
              <w:t xml:space="preserve">1,188,159.57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439" w:type="dxa"/>
            <w:tcBorders>
              <w:top w:val="single" w:color="auto" w:sz="12" w:space="0"/>
            </w:tcBorders>
            <w:shd w:val="clear" w:color="auto" w:fill="auto"/>
            <w:vAlign w:val="bottom"/>
          </w:tcPr>
          <w:p>
            <w:pPr>
              <w:jc w:val="center"/>
              <w:rPr>
                <w:rFonts w:ascii="宋体" w:hAnsi="宋体"/>
                <w:b/>
                <w:color w:val="auto"/>
                <w:kern w:val="0"/>
                <w:sz w:val="18"/>
                <w:szCs w:val="18"/>
              </w:rPr>
            </w:pPr>
            <w:r>
              <w:rPr>
                <w:rFonts w:hint="eastAsia" w:ascii="宋体" w:hAnsi="宋体"/>
                <w:b/>
                <w:color w:val="auto"/>
                <w:kern w:val="0"/>
                <w:sz w:val="18"/>
                <w:szCs w:val="18"/>
              </w:rPr>
              <w:t>合计</w:t>
            </w:r>
          </w:p>
        </w:tc>
        <w:tc>
          <w:tcPr>
            <w:tcW w:w="1908" w:type="dxa"/>
            <w:tcBorders>
              <w:top w:val="single" w:color="auto" w:sz="12" w:space="0"/>
            </w:tcBorders>
            <w:shd w:val="clear" w:color="auto" w:fill="auto"/>
            <w:vAlign w:val="bottom"/>
          </w:tcPr>
          <w:p>
            <w:pPr>
              <w:jc w:val="right"/>
              <w:rPr>
                <w:rFonts w:ascii="宋体" w:hAnsi="宋体" w:cs="宋体"/>
                <w:b/>
                <w:bCs/>
                <w:color w:val="auto"/>
                <w:sz w:val="18"/>
                <w:szCs w:val="18"/>
              </w:rPr>
            </w:pPr>
            <w:r>
              <w:rPr>
                <w:rFonts w:ascii="宋体" w:hAnsi="宋体"/>
                <w:b/>
                <w:bCs/>
                <w:color w:val="auto"/>
                <w:sz w:val="18"/>
                <w:szCs w:val="18"/>
              </w:rPr>
              <w:t>540,141,645.64</w:t>
            </w:r>
          </w:p>
        </w:tc>
        <w:tc>
          <w:tcPr>
            <w:tcW w:w="1908" w:type="dxa"/>
            <w:tcBorders>
              <w:top w:val="single" w:color="auto" w:sz="12" w:space="0"/>
            </w:tcBorders>
            <w:shd w:val="clear" w:color="auto" w:fill="auto"/>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337,640,889.87 </w:t>
            </w:r>
          </w:p>
        </w:tc>
        <w:tc>
          <w:tcPr>
            <w:tcW w:w="1908" w:type="dxa"/>
            <w:tcBorders>
              <w:top w:val="single" w:color="auto" w:sz="12" w:space="0"/>
            </w:tcBorders>
            <w:shd w:val="clear" w:color="auto" w:fill="auto"/>
            <w:vAlign w:val="bottom"/>
          </w:tcPr>
          <w:p>
            <w:pPr>
              <w:jc w:val="right"/>
              <w:rPr>
                <w:rFonts w:ascii="宋体" w:hAnsi="宋体" w:cs="宋体"/>
                <w:b/>
                <w:bCs/>
                <w:color w:val="auto"/>
                <w:sz w:val="18"/>
                <w:szCs w:val="18"/>
              </w:rPr>
            </w:pPr>
            <w:r>
              <w:rPr>
                <w:rFonts w:hint="eastAsia" w:asciiTheme="minorEastAsia" w:hAnsiTheme="minorEastAsia" w:eastAsiaTheme="minorEastAsia"/>
                <w:b/>
                <w:bCs/>
                <w:color w:val="auto"/>
                <w:sz w:val="18"/>
                <w:szCs w:val="18"/>
              </w:rPr>
              <w:t xml:space="preserve">415,162,743.70 </w:t>
            </w:r>
          </w:p>
        </w:tc>
        <w:tc>
          <w:tcPr>
            <w:tcW w:w="1768" w:type="dxa"/>
            <w:tcBorders>
              <w:top w:val="single" w:color="auto" w:sz="12" w:space="0"/>
            </w:tcBorders>
            <w:shd w:val="clear" w:color="auto" w:fill="auto"/>
            <w:vAlign w:val="bottom"/>
          </w:tcPr>
          <w:p>
            <w:pPr>
              <w:jc w:val="right"/>
              <w:rPr>
                <w:rFonts w:asciiTheme="majorEastAsia" w:hAnsiTheme="majorEastAsia" w:eastAsiaTheme="majorEastAsia" w:cstheme="minorHAnsi"/>
                <w:b/>
                <w:bCs/>
                <w:color w:val="auto"/>
                <w:sz w:val="18"/>
                <w:szCs w:val="18"/>
              </w:rPr>
            </w:pPr>
            <w:r>
              <w:rPr>
                <w:rFonts w:hint="eastAsia" w:asciiTheme="minorEastAsia" w:hAnsiTheme="minorEastAsia" w:eastAsiaTheme="minorEastAsia"/>
                <w:b/>
                <w:bCs/>
                <w:color w:val="auto"/>
                <w:sz w:val="18"/>
                <w:szCs w:val="18"/>
              </w:rPr>
              <w:t xml:space="preserve">279,863,882.60 </w:t>
            </w:r>
          </w:p>
        </w:tc>
      </w:tr>
    </w:tbl>
    <w:p>
      <w:pPr>
        <w:widowControl/>
        <w:spacing w:before="150" w:beforeLines="50" w:after="150" w:after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（2）合同产生的收入情况：</w:t>
      </w:r>
    </w:p>
    <w:tbl>
      <w:tblPr>
        <w:tblStyle w:val="9"/>
        <w:tblW w:w="5000" w:type="pct"/>
        <w:tblCaption w:val="&quot;\\lisheng\共享\1、伟隆2022年度审计\1、2022年度审计\1、附注及报告\2022年\附注计算-伟隆 - 2022.xlsx&quot; &quot;2022附注格式!_ReportTable_0074&quot;"/>
        <w:tblDescription w:val="A590:B601"/>
        <w:tblInd w:w="0" w:type="dxa"/>
        <w:tblLayout w:type="autofit"/>
        <w:tblCellMar>
          <w:top w:w="0" w:type="dxa"/>
          <w:left w:w="108" w:type="dxa"/>
          <w:bottom w:w="0" w:type="dxa"/>
          <w:right w:w="108" w:type="dxa"/>
        </w:tblCellMar>
      </w:tblPr>
      <w:tblGrid>
        <w:gridCol w:w="4896"/>
        <w:gridCol w:w="4957"/>
      </w:tblGrid>
      <w:tr>
        <w:tblPrEx>
          <w:tblCellMar>
            <w:top w:w="0" w:type="dxa"/>
            <w:left w:w="108" w:type="dxa"/>
            <w:bottom w:w="0" w:type="dxa"/>
            <w:right w:w="108" w:type="dxa"/>
          </w:tblCellMar>
        </w:tblPrEx>
        <w:trPr>
          <w:trHeight w:val="454" w:hRule="atLeast"/>
        </w:trPr>
        <w:tc>
          <w:tcPr>
            <w:tcW w:w="0" w:type="auto"/>
            <w:tcBorders>
              <w:top w:val="single" w:color="auto" w:sz="12" w:space="0"/>
              <w:left w:val="nil"/>
              <w:bottom w:val="single" w:color="auto" w:sz="12"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合同分类</w:t>
            </w:r>
          </w:p>
        </w:tc>
        <w:tc>
          <w:tcPr>
            <w:tcW w:w="0" w:type="auto"/>
            <w:tcBorders>
              <w:top w:val="single" w:color="auto" w:sz="12" w:space="0"/>
              <w:left w:val="single" w:color="auto" w:sz="4" w:space="0"/>
              <w:bottom w:val="single" w:color="auto" w:sz="12" w:space="0"/>
              <w:right w:val="nil"/>
            </w:tcBorders>
            <w:shd w:val="clear" w:color="auto" w:fill="auto"/>
            <w:vAlign w:val="center"/>
          </w:tcPr>
          <w:p>
            <w:pPr>
              <w:widowControl/>
              <w:jc w:val="center"/>
              <w:rPr>
                <w:rFonts w:ascii="宋体" w:hAnsi="宋体" w:cs="宋体"/>
                <w:b/>
                <w:bCs/>
                <w:color w:val="auto"/>
                <w:kern w:val="0"/>
                <w:sz w:val="18"/>
                <w:szCs w:val="18"/>
              </w:rPr>
            </w:pPr>
            <w:r>
              <w:rPr>
                <w:rFonts w:ascii="宋体" w:hAnsi="宋体" w:cs="宋体"/>
                <w:b/>
                <w:bCs/>
                <w:color w:val="auto"/>
                <w:kern w:val="0"/>
                <w:sz w:val="18"/>
                <w:szCs w:val="18"/>
              </w:rPr>
              <w:t>202</w:t>
            </w:r>
            <w:r>
              <w:rPr>
                <w:rFonts w:hint="eastAsia" w:ascii="宋体" w:hAnsi="宋体" w:cs="宋体"/>
                <w:b/>
                <w:bCs/>
                <w:color w:val="auto"/>
                <w:kern w:val="0"/>
                <w:sz w:val="18"/>
                <w:szCs w:val="18"/>
              </w:rPr>
              <w:t>2</w:t>
            </w:r>
            <w:r>
              <w:rPr>
                <w:rFonts w:ascii="宋体" w:hAnsi="宋体" w:cs="宋体"/>
                <w:b/>
                <w:bCs/>
                <w:color w:val="auto"/>
                <w:kern w:val="0"/>
                <w:sz w:val="18"/>
                <w:szCs w:val="18"/>
              </w:rPr>
              <w:t>年度</w:t>
            </w:r>
          </w:p>
        </w:tc>
      </w:tr>
      <w:tr>
        <w:tblPrEx>
          <w:tblCellMar>
            <w:top w:w="0" w:type="dxa"/>
            <w:left w:w="108" w:type="dxa"/>
            <w:bottom w:w="0" w:type="dxa"/>
            <w:right w:w="108" w:type="dxa"/>
          </w:tblCellMar>
        </w:tblPrEx>
        <w:trPr>
          <w:trHeight w:val="454" w:hRule="atLeast"/>
        </w:trPr>
        <w:tc>
          <w:tcPr>
            <w:tcW w:w="0" w:type="auto"/>
            <w:tcBorders>
              <w:top w:val="single" w:color="auto" w:sz="12" w:space="0"/>
              <w:left w:val="nil"/>
              <w:bottom w:val="single" w:color="auto" w:sz="4" w:space="0"/>
              <w:right w:val="single" w:color="auto" w:sz="4" w:space="0"/>
            </w:tcBorders>
            <w:shd w:val="clear" w:color="auto" w:fill="auto"/>
            <w:vAlign w:val="bottom"/>
          </w:tcPr>
          <w:p>
            <w:pPr>
              <w:widowControl/>
              <w:rPr>
                <w:rFonts w:ascii="宋体" w:hAnsi="宋体" w:cs="宋体"/>
                <w:b/>
                <w:bCs/>
                <w:color w:val="auto"/>
                <w:kern w:val="0"/>
                <w:sz w:val="18"/>
                <w:szCs w:val="18"/>
              </w:rPr>
            </w:pPr>
            <w:r>
              <w:rPr>
                <w:rFonts w:hint="eastAsia" w:ascii="宋体" w:hAnsi="宋体" w:cs="宋体"/>
                <w:b/>
                <w:bCs/>
                <w:color w:val="auto"/>
                <w:kern w:val="0"/>
                <w:sz w:val="18"/>
                <w:szCs w:val="18"/>
              </w:rPr>
              <w:t>商品类型：</w:t>
            </w:r>
          </w:p>
        </w:tc>
        <w:tc>
          <w:tcPr>
            <w:tcW w:w="0" w:type="auto"/>
            <w:tcBorders>
              <w:top w:val="single" w:color="auto" w:sz="12" w:space="0"/>
              <w:left w:val="single" w:color="auto" w:sz="4" w:space="0"/>
              <w:bottom w:val="single" w:color="auto" w:sz="4" w:space="0"/>
              <w:right w:val="nil"/>
            </w:tcBorders>
            <w:shd w:val="clear" w:color="auto" w:fill="auto"/>
            <w:vAlign w:val="bottom"/>
          </w:tcPr>
          <w:p>
            <w:pPr>
              <w:widowControl/>
              <w:jc w:val="right"/>
              <w:rPr>
                <w:rFonts w:ascii="宋体" w:hAnsi="宋体" w:cs="宋体"/>
                <w:color w:val="auto"/>
                <w:kern w:val="0"/>
                <w:sz w:val="18"/>
                <w:szCs w:val="18"/>
              </w:rPr>
            </w:pPr>
          </w:p>
        </w:tc>
      </w:tr>
      <w:tr>
        <w:tblPrEx>
          <w:tblCellMar>
            <w:top w:w="0" w:type="dxa"/>
            <w:left w:w="108" w:type="dxa"/>
            <w:bottom w:w="0" w:type="dxa"/>
            <w:right w:w="108" w:type="dxa"/>
          </w:tblCellMar>
        </w:tblPrEx>
        <w:trPr>
          <w:trHeight w:val="454" w:hRule="atLeast"/>
        </w:trPr>
        <w:tc>
          <w:tcPr>
            <w:tcW w:w="0" w:type="auto"/>
            <w:tcBorders>
              <w:top w:val="single" w:color="auto" w:sz="4" w:space="0"/>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阀门销售</w:t>
            </w:r>
          </w:p>
        </w:tc>
        <w:tc>
          <w:tcPr>
            <w:tcW w:w="0" w:type="auto"/>
            <w:tcBorders>
              <w:top w:val="single" w:color="auto" w:sz="4" w:space="0"/>
              <w:left w:val="single" w:color="auto" w:sz="4" w:space="0"/>
              <w:bottom w:val="single" w:color="auto" w:sz="4" w:space="0"/>
              <w:right w:val="nil"/>
            </w:tcBorders>
            <w:shd w:val="clear" w:color="auto" w:fill="auto"/>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446,055,184.31 </w:t>
            </w:r>
          </w:p>
        </w:tc>
      </w:tr>
      <w:tr>
        <w:tblPrEx>
          <w:tblCellMar>
            <w:top w:w="0" w:type="dxa"/>
            <w:left w:w="108" w:type="dxa"/>
            <w:bottom w:w="0" w:type="dxa"/>
            <w:right w:w="108" w:type="dxa"/>
          </w:tblCellMar>
        </w:tblPrEx>
        <w:trPr>
          <w:trHeight w:val="454" w:hRule="atLeast"/>
        </w:trPr>
        <w:tc>
          <w:tcPr>
            <w:tcW w:w="0" w:type="auto"/>
            <w:tcBorders>
              <w:top w:val="single" w:color="auto" w:sz="4" w:space="0"/>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过滤器销售</w:t>
            </w:r>
          </w:p>
        </w:tc>
        <w:tc>
          <w:tcPr>
            <w:tcW w:w="0" w:type="auto"/>
            <w:tcBorders>
              <w:top w:val="single" w:color="auto" w:sz="4" w:space="0"/>
              <w:left w:val="single" w:color="auto" w:sz="4" w:space="0"/>
              <w:bottom w:val="single" w:color="auto" w:sz="4" w:space="0"/>
              <w:right w:val="nil"/>
            </w:tcBorders>
            <w:shd w:val="clear" w:color="auto" w:fill="auto"/>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27,873,943.19 </w:t>
            </w:r>
          </w:p>
        </w:tc>
      </w:tr>
      <w:tr>
        <w:tblPrEx>
          <w:tblCellMar>
            <w:top w:w="0" w:type="dxa"/>
            <w:left w:w="108" w:type="dxa"/>
            <w:bottom w:w="0" w:type="dxa"/>
            <w:right w:w="108" w:type="dxa"/>
          </w:tblCellMar>
        </w:tblPrEx>
        <w:trPr>
          <w:trHeight w:val="454" w:hRule="atLeast"/>
        </w:trPr>
        <w:tc>
          <w:tcPr>
            <w:tcW w:w="0" w:type="auto"/>
            <w:tcBorders>
              <w:top w:val="single" w:color="auto" w:sz="4" w:space="0"/>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阀门零件及管件销售</w:t>
            </w:r>
          </w:p>
        </w:tc>
        <w:tc>
          <w:tcPr>
            <w:tcW w:w="0" w:type="auto"/>
            <w:tcBorders>
              <w:top w:val="single" w:color="auto" w:sz="4" w:space="0"/>
              <w:left w:val="single" w:color="auto" w:sz="4" w:space="0"/>
              <w:bottom w:val="single" w:color="auto" w:sz="4" w:space="0"/>
              <w:right w:val="nil"/>
            </w:tcBorders>
            <w:shd w:val="clear" w:color="auto" w:fill="auto"/>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48,536,085.91 </w:t>
            </w:r>
          </w:p>
        </w:tc>
      </w:tr>
      <w:tr>
        <w:tblPrEx>
          <w:tblCellMar>
            <w:top w:w="0" w:type="dxa"/>
            <w:left w:w="108" w:type="dxa"/>
            <w:bottom w:w="0" w:type="dxa"/>
            <w:right w:w="108" w:type="dxa"/>
          </w:tblCellMar>
        </w:tblPrEx>
        <w:trPr>
          <w:trHeight w:val="454" w:hRule="atLeast"/>
        </w:trPr>
        <w:tc>
          <w:tcPr>
            <w:tcW w:w="0" w:type="auto"/>
            <w:tcBorders>
              <w:top w:val="single" w:color="auto" w:sz="4" w:space="0"/>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汽车配件</w:t>
            </w:r>
          </w:p>
        </w:tc>
        <w:tc>
          <w:tcPr>
            <w:tcW w:w="0" w:type="auto"/>
            <w:tcBorders>
              <w:top w:val="single" w:color="auto" w:sz="4" w:space="0"/>
              <w:left w:val="single" w:color="auto" w:sz="4" w:space="0"/>
              <w:bottom w:val="single" w:color="auto" w:sz="4" w:space="0"/>
              <w:right w:val="nil"/>
            </w:tcBorders>
            <w:shd w:val="clear" w:color="auto" w:fill="auto"/>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12,171,763.02 </w:t>
            </w:r>
          </w:p>
        </w:tc>
      </w:tr>
      <w:tr>
        <w:tblPrEx>
          <w:tblCellMar>
            <w:top w:w="0" w:type="dxa"/>
            <w:left w:w="108" w:type="dxa"/>
            <w:bottom w:w="0" w:type="dxa"/>
            <w:right w:w="108" w:type="dxa"/>
          </w:tblCellMar>
        </w:tblPrEx>
        <w:trPr>
          <w:trHeight w:val="454" w:hRule="atLeast"/>
        </w:trPr>
        <w:tc>
          <w:tcPr>
            <w:tcW w:w="0" w:type="auto"/>
            <w:tcBorders>
              <w:top w:val="single" w:color="auto" w:sz="4" w:space="0"/>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其他业务收入</w:t>
            </w:r>
          </w:p>
        </w:tc>
        <w:tc>
          <w:tcPr>
            <w:tcW w:w="0" w:type="auto"/>
            <w:tcBorders>
              <w:top w:val="single" w:color="auto" w:sz="4" w:space="0"/>
              <w:left w:val="single" w:color="auto" w:sz="4" w:space="0"/>
              <w:bottom w:val="single" w:color="auto" w:sz="4" w:space="0"/>
              <w:right w:val="nil"/>
            </w:tcBorders>
            <w:shd w:val="clear" w:color="auto" w:fill="auto"/>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5,504,669.21 </w:t>
            </w:r>
          </w:p>
        </w:tc>
      </w:tr>
      <w:tr>
        <w:tblPrEx>
          <w:tblCellMar>
            <w:top w:w="0" w:type="dxa"/>
            <w:left w:w="108" w:type="dxa"/>
            <w:bottom w:w="0" w:type="dxa"/>
            <w:right w:w="108" w:type="dxa"/>
          </w:tblCellMar>
        </w:tblPrEx>
        <w:trPr>
          <w:trHeight w:val="454" w:hRule="atLeast"/>
        </w:trPr>
        <w:tc>
          <w:tcPr>
            <w:tcW w:w="0" w:type="auto"/>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合计：</w:t>
            </w:r>
          </w:p>
        </w:tc>
        <w:tc>
          <w:tcPr>
            <w:tcW w:w="0" w:type="auto"/>
            <w:tcBorders>
              <w:top w:val="single" w:color="auto" w:sz="4" w:space="0"/>
              <w:left w:val="single" w:color="auto" w:sz="4" w:space="0"/>
              <w:bottom w:val="single" w:color="auto" w:sz="4" w:space="0"/>
              <w:right w:val="nil"/>
            </w:tcBorders>
            <w:shd w:val="clear" w:color="auto" w:fill="auto"/>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540,141,645.64 </w:t>
            </w:r>
          </w:p>
        </w:tc>
      </w:tr>
      <w:tr>
        <w:tblPrEx>
          <w:tblCellMar>
            <w:top w:w="0" w:type="dxa"/>
            <w:left w:w="108" w:type="dxa"/>
            <w:bottom w:w="0" w:type="dxa"/>
            <w:right w:w="108" w:type="dxa"/>
          </w:tblCellMar>
        </w:tblPrEx>
        <w:trPr>
          <w:trHeight w:val="454" w:hRule="atLeast"/>
        </w:trPr>
        <w:tc>
          <w:tcPr>
            <w:tcW w:w="0" w:type="auto"/>
            <w:tcBorders>
              <w:top w:val="single" w:color="auto" w:sz="4" w:space="0"/>
              <w:left w:val="nil"/>
              <w:bottom w:val="single" w:color="auto" w:sz="4" w:space="0"/>
              <w:right w:val="single" w:color="auto" w:sz="4" w:space="0"/>
            </w:tcBorders>
            <w:shd w:val="clear" w:color="auto" w:fill="auto"/>
            <w:vAlign w:val="bottom"/>
          </w:tcPr>
          <w:p>
            <w:pPr>
              <w:widowControl/>
              <w:rPr>
                <w:rFonts w:ascii="宋体" w:hAnsi="宋体" w:cs="宋体"/>
                <w:b/>
                <w:bCs/>
                <w:color w:val="auto"/>
                <w:kern w:val="0"/>
                <w:sz w:val="18"/>
                <w:szCs w:val="18"/>
              </w:rPr>
            </w:pPr>
            <w:r>
              <w:rPr>
                <w:rFonts w:hint="eastAsia" w:ascii="宋体" w:hAnsi="宋体" w:cs="宋体"/>
                <w:b/>
                <w:bCs/>
                <w:color w:val="auto"/>
                <w:kern w:val="0"/>
                <w:sz w:val="18"/>
                <w:szCs w:val="18"/>
              </w:rPr>
              <w:t>按经营地区分类：</w:t>
            </w:r>
          </w:p>
        </w:tc>
        <w:tc>
          <w:tcPr>
            <w:tcW w:w="0" w:type="auto"/>
            <w:tcBorders>
              <w:top w:val="single" w:color="auto" w:sz="4" w:space="0"/>
              <w:left w:val="single" w:color="auto" w:sz="4" w:space="0"/>
              <w:bottom w:val="single" w:color="auto" w:sz="4" w:space="0"/>
              <w:right w:val="nil"/>
            </w:tcBorders>
            <w:shd w:val="clear" w:color="auto" w:fill="auto"/>
            <w:vAlign w:val="bottom"/>
          </w:tcPr>
          <w:p>
            <w:pPr>
              <w:autoSpaceDE w:val="0"/>
              <w:autoSpaceDN w:val="0"/>
              <w:adjustRightInd w:val="0"/>
              <w:jc w:val="right"/>
              <w:rPr>
                <w:rFonts w:ascii="宋体" w:hAnsi="宋体" w:cs="宋体"/>
                <w:color w:val="auto"/>
                <w:kern w:val="0"/>
                <w:sz w:val="18"/>
                <w:szCs w:val="18"/>
              </w:rPr>
            </w:pPr>
          </w:p>
        </w:tc>
      </w:tr>
      <w:tr>
        <w:tblPrEx>
          <w:tblCellMar>
            <w:top w:w="0" w:type="dxa"/>
            <w:left w:w="108" w:type="dxa"/>
            <w:bottom w:w="0" w:type="dxa"/>
            <w:right w:w="108" w:type="dxa"/>
          </w:tblCellMar>
        </w:tblPrEx>
        <w:trPr>
          <w:trHeight w:val="454" w:hRule="atLeast"/>
        </w:trPr>
        <w:tc>
          <w:tcPr>
            <w:tcW w:w="0" w:type="auto"/>
            <w:tcBorders>
              <w:top w:val="single" w:color="auto" w:sz="4" w:space="0"/>
              <w:left w:val="nil"/>
              <w:bottom w:val="single" w:color="auto" w:sz="4"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内销收入</w:t>
            </w:r>
          </w:p>
        </w:tc>
        <w:tc>
          <w:tcPr>
            <w:tcW w:w="0" w:type="auto"/>
            <w:tcBorders>
              <w:top w:val="single" w:color="auto" w:sz="4" w:space="0"/>
              <w:left w:val="single" w:color="auto" w:sz="4" w:space="0"/>
              <w:bottom w:val="single" w:color="auto" w:sz="4" w:space="0"/>
              <w:right w:val="nil"/>
            </w:tcBorders>
            <w:shd w:val="clear" w:color="auto" w:fill="auto"/>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     74,636,493.17 </w:t>
            </w:r>
          </w:p>
        </w:tc>
      </w:tr>
      <w:tr>
        <w:tblPrEx>
          <w:tblCellMar>
            <w:top w:w="0" w:type="dxa"/>
            <w:left w:w="108" w:type="dxa"/>
            <w:bottom w:w="0" w:type="dxa"/>
            <w:right w:w="108" w:type="dxa"/>
          </w:tblCellMar>
        </w:tblPrEx>
        <w:trPr>
          <w:trHeight w:val="454" w:hRule="atLeast"/>
        </w:trPr>
        <w:tc>
          <w:tcPr>
            <w:tcW w:w="0" w:type="auto"/>
            <w:tcBorders>
              <w:top w:val="single" w:color="auto" w:sz="4" w:space="0"/>
              <w:left w:val="nil"/>
              <w:bottom w:val="single" w:color="auto" w:sz="12" w:space="0"/>
              <w:right w:val="single" w:color="auto" w:sz="4" w:space="0"/>
            </w:tcBorders>
            <w:shd w:val="clear" w:color="auto" w:fill="auto"/>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出口收入</w:t>
            </w:r>
          </w:p>
        </w:tc>
        <w:tc>
          <w:tcPr>
            <w:tcW w:w="0" w:type="auto"/>
            <w:tcBorders>
              <w:top w:val="single" w:color="auto" w:sz="4" w:space="0"/>
              <w:left w:val="single" w:color="auto" w:sz="4" w:space="0"/>
              <w:bottom w:val="single" w:color="auto" w:sz="12" w:space="0"/>
              <w:right w:val="nil"/>
            </w:tcBorders>
            <w:shd w:val="clear" w:color="auto" w:fill="auto"/>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    465,505,152.47 </w:t>
            </w:r>
          </w:p>
        </w:tc>
      </w:tr>
      <w:tr>
        <w:tblPrEx>
          <w:tblCellMar>
            <w:top w:w="0" w:type="dxa"/>
            <w:left w:w="108" w:type="dxa"/>
            <w:bottom w:w="0" w:type="dxa"/>
            <w:right w:w="108" w:type="dxa"/>
          </w:tblCellMar>
        </w:tblPrEx>
        <w:trPr>
          <w:trHeight w:val="454" w:hRule="atLeast"/>
        </w:trPr>
        <w:tc>
          <w:tcPr>
            <w:tcW w:w="0" w:type="auto"/>
            <w:tcBorders>
              <w:top w:val="single" w:color="auto" w:sz="12" w:space="0"/>
              <w:left w:val="nil"/>
              <w:bottom w:val="single" w:color="auto" w:sz="12" w:space="0"/>
              <w:right w:val="single" w:color="auto" w:sz="4" w:space="0"/>
            </w:tcBorders>
            <w:shd w:val="clear" w:color="auto" w:fill="auto"/>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合计：</w:t>
            </w:r>
          </w:p>
        </w:tc>
        <w:tc>
          <w:tcPr>
            <w:tcW w:w="0" w:type="auto"/>
            <w:tcBorders>
              <w:top w:val="single" w:color="auto" w:sz="12" w:space="0"/>
              <w:left w:val="single" w:color="auto" w:sz="4" w:space="0"/>
              <w:bottom w:val="single" w:color="auto" w:sz="12" w:space="0"/>
              <w:right w:val="nil"/>
            </w:tcBorders>
            <w:shd w:val="clear" w:color="auto" w:fill="auto"/>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  540,141,645.64 </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35、税金及附加</w:t>
      </w:r>
    </w:p>
    <w:tbl>
      <w:tblPr>
        <w:tblStyle w:val="9"/>
        <w:tblW w:w="5000" w:type="pct"/>
        <w:tblCaption w:val="&quot;\\lisheng\共享\1、伟隆2022年度审计\1、2022年度审计\1、附注及报告\2022年\附注计算-伟隆 - 2022.xlsx&quot; &quot;2022附注格式!_ReportTable_0075&quot;"/>
        <w:tblDescription w:val="A611:C621"/>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3264"/>
        <w:gridCol w:w="3216"/>
        <w:gridCol w:w="32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54" w:hRule="atLeast"/>
        </w:trPr>
        <w:tc>
          <w:tcPr>
            <w:tcW w:w="1683" w:type="pct"/>
            <w:tcBorders>
              <w:top w:val="single" w:color="auto" w:sz="12"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w:t>
            </w:r>
            <w:r>
              <w:rPr>
                <w:rFonts w:asciiTheme="minorEastAsia" w:hAnsiTheme="minorEastAsia" w:eastAsiaTheme="minorEastAsia"/>
                <w:b/>
                <w:bCs/>
                <w:color w:val="auto"/>
                <w:sz w:val="18"/>
                <w:szCs w:val="18"/>
              </w:rPr>
              <w:t xml:space="preserve">   目</w:t>
            </w:r>
          </w:p>
        </w:tc>
        <w:tc>
          <w:tcPr>
            <w:tcW w:w="1658" w:type="pct"/>
            <w:tcBorders>
              <w:top w:val="single" w:color="auto" w:sz="12" w:space="0"/>
              <w:bottom w:val="single" w:color="auto" w:sz="12"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本期发生额</w:t>
            </w:r>
          </w:p>
        </w:tc>
        <w:tc>
          <w:tcPr>
            <w:tcW w:w="1659" w:type="pct"/>
            <w:tcBorders>
              <w:top w:val="single" w:color="auto" w:sz="12"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上期发生额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54" w:hRule="atLeast"/>
        </w:trPr>
        <w:tc>
          <w:tcPr>
            <w:tcW w:w="1683" w:type="pct"/>
            <w:vAlign w:val="bottom"/>
          </w:tcPr>
          <w:p>
            <w:pPr>
              <w:rPr>
                <w:rFonts w:ascii="宋体"/>
                <w:color w:val="auto"/>
                <w:sz w:val="18"/>
                <w:szCs w:val="18"/>
              </w:rPr>
            </w:pPr>
            <w:r>
              <w:rPr>
                <w:rFonts w:hint="eastAsia" w:ascii="宋体" w:hAnsi="宋体"/>
                <w:color w:val="auto"/>
                <w:sz w:val="18"/>
                <w:szCs w:val="18"/>
              </w:rPr>
              <w:t>城市维护建设税</w:t>
            </w:r>
          </w:p>
        </w:tc>
        <w:tc>
          <w:tcPr>
            <w:tcW w:w="1658"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1,913,116.15</w:t>
            </w:r>
          </w:p>
        </w:tc>
        <w:tc>
          <w:tcPr>
            <w:tcW w:w="1659" w:type="pct"/>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1,126,991.65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54" w:hRule="atLeast"/>
        </w:trPr>
        <w:tc>
          <w:tcPr>
            <w:tcW w:w="1683" w:type="pct"/>
            <w:vAlign w:val="bottom"/>
          </w:tcPr>
          <w:p>
            <w:pPr>
              <w:rPr>
                <w:rFonts w:ascii="宋体"/>
                <w:color w:val="auto"/>
                <w:sz w:val="18"/>
                <w:szCs w:val="18"/>
              </w:rPr>
            </w:pPr>
            <w:r>
              <w:rPr>
                <w:rFonts w:hint="eastAsia" w:ascii="宋体" w:hAnsi="宋体"/>
                <w:color w:val="auto"/>
                <w:sz w:val="18"/>
                <w:szCs w:val="18"/>
              </w:rPr>
              <w:t>教育费附加</w:t>
            </w:r>
          </w:p>
        </w:tc>
        <w:tc>
          <w:tcPr>
            <w:tcW w:w="1658"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819,906.91</w:t>
            </w:r>
          </w:p>
        </w:tc>
        <w:tc>
          <w:tcPr>
            <w:tcW w:w="1659" w:type="pct"/>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482,996.42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54" w:hRule="atLeast"/>
        </w:trPr>
        <w:tc>
          <w:tcPr>
            <w:tcW w:w="1683" w:type="pct"/>
            <w:vAlign w:val="bottom"/>
          </w:tcPr>
          <w:p>
            <w:pPr>
              <w:rPr>
                <w:rFonts w:ascii="宋体"/>
                <w:color w:val="auto"/>
                <w:sz w:val="18"/>
                <w:szCs w:val="18"/>
              </w:rPr>
            </w:pPr>
            <w:r>
              <w:rPr>
                <w:rFonts w:hint="eastAsia" w:ascii="宋体" w:hAnsi="宋体"/>
                <w:color w:val="auto"/>
                <w:sz w:val="18"/>
                <w:szCs w:val="18"/>
              </w:rPr>
              <w:t>地方教育费附加</w:t>
            </w:r>
          </w:p>
        </w:tc>
        <w:tc>
          <w:tcPr>
            <w:tcW w:w="1658"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546,604.63</w:t>
            </w:r>
          </w:p>
        </w:tc>
        <w:tc>
          <w:tcPr>
            <w:tcW w:w="1659" w:type="pct"/>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321,997.64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54" w:hRule="atLeast"/>
        </w:trPr>
        <w:tc>
          <w:tcPr>
            <w:tcW w:w="1683" w:type="pct"/>
            <w:vAlign w:val="bottom"/>
          </w:tcPr>
          <w:p>
            <w:pPr>
              <w:rPr>
                <w:rFonts w:ascii="宋体"/>
                <w:color w:val="auto"/>
                <w:sz w:val="18"/>
                <w:szCs w:val="18"/>
              </w:rPr>
            </w:pPr>
            <w:r>
              <w:rPr>
                <w:rFonts w:hint="eastAsia" w:ascii="宋体" w:hAnsi="宋体"/>
                <w:color w:val="auto"/>
                <w:sz w:val="18"/>
                <w:szCs w:val="18"/>
              </w:rPr>
              <w:t>土地使用税</w:t>
            </w:r>
          </w:p>
        </w:tc>
        <w:tc>
          <w:tcPr>
            <w:tcW w:w="1658"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469,715.40</w:t>
            </w:r>
          </w:p>
        </w:tc>
        <w:tc>
          <w:tcPr>
            <w:tcW w:w="1659" w:type="pct"/>
            <w:vAlign w:val="bottom"/>
          </w:tcPr>
          <w:p>
            <w:pPr>
              <w:jc w:val="right"/>
              <w:rPr>
                <w:rFonts w:cs="宋体" w:asciiTheme="majorEastAsia" w:hAnsiTheme="majorEastAsia" w:eastAsiaTheme="majorEastAsia"/>
                <w:color w:val="auto"/>
                <w:sz w:val="18"/>
                <w:szCs w:val="18"/>
              </w:rPr>
            </w:pPr>
            <w:r>
              <w:rPr>
                <w:rFonts w:asciiTheme="minorEastAsia" w:hAnsiTheme="minorEastAsia" w:eastAsiaTheme="minorEastAsia"/>
                <w:color w:val="auto"/>
                <w:sz w:val="18"/>
                <w:szCs w:val="18"/>
              </w:rPr>
              <w:t>469,715.40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54" w:hRule="atLeast"/>
        </w:trPr>
        <w:tc>
          <w:tcPr>
            <w:tcW w:w="1683" w:type="pct"/>
            <w:tcBorders>
              <w:bottom w:val="single" w:color="auto" w:sz="4" w:space="0"/>
            </w:tcBorders>
            <w:vAlign w:val="bottom"/>
          </w:tcPr>
          <w:p>
            <w:pPr>
              <w:rPr>
                <w:rFonts w:ascii="宋体" w:hAnsi="宋体"/>
                <w:color w:val="auto"/>
                <w:sz w:val="18"/>
                <w:szCs w:val="18"/>
              </w:rPr>
            </w:pPr>
            <w:r>
              <w:rPr>
                <w:rFonts w:hint="eastAsia" w:ascii="宋体" w:hAnsi="宋体"/>
                <w:color w:val="auto"/>
                <w:sz w:val="18"/>
                <w:szCs w:val="18"/>
              </w:rPr>
              <w:t>房产税</w:t>
            </w:r>
          </w:p>
        </w:tc>
        <w:tc>
          <w:tcPr>
            <w:tcW w:w="1658" w:type="pct"/>
            <w:tcBorders>
              <w:bottom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1,353,406.52</w:t>
            </w:r>
          </w:p>
        </w:tc>
        <w:tc>
          <w:tcPr>
            <w:tcW w:w="1659" w:type="pct"/>
            <w:tcBorders>
              <w:bottom w:val="single" w:color="auto" w:sz="4" w:space="0"/>
            </w:tcBorders>
            <w:vAlign w:val="bottom"/>
          </w:tcPr>
          <w:p>
            <w:pPr>
              <w:jc w:val="right"/>
              <w:rPr>
                <w:rFonts w:cs="宋体" w:asciiTheme="majorEastAsia" w:hAnsiTheme="majorEastAsia" w:eastAsiaTheme="majorEastAsia"/>
                <w:color w:val="auto"/>
                <w:sz w:val="18"/>
                <w:szCs w:val="18"/>
              </w:rPr>
            </w:pPr>
            <w:r>
              <w:rPr>
                <w:rFonts w:asciiTheme="minorEastAsia" w:hAnsiTheme="minorEastAsia" w:eastAsiaTheme="minorEastAsia"/>
                <w:color w:val="auto"/>
                <w:sz w:val="18"/>
                <w:szCs w:val="18"/>
              </w:rPr>
              <w:t>1,253,038.73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54" w:hRule="atLeast"/>
        </w:trPr>
        <w:tc>
          <w:tcPr>
            <w:tcW w:w="1683" w:type="pct"/>
            <w:tcBorders>
              <w:top w:val="single" w:color="auto" w:sz="4" w:space="0"/>
              <w:bottom w:val="single" w:color="auto" w:sz="4" w:space="0"/>
            </w:tcBorders>
            <w:vAlign w:val="bottom"/>
          </w:tcPr>
          <w:p>
            <w:pPr>
              <w:rPr>
                <w:rFonts w:ascii="宋体" w:hAnsi="宋体"/>
                <w:color w:val="auto"/>
                <w:sz w:val="18"/>
                <w:szCs w:val="18"/>
              </w:rPr>
            </w:pPr>
            <w:r>
              <w:rPr>
                <w:rFonts w:hint="eastAsia" w:ascii="宋体" w:hAnsi="宋体"/>
                <w:color w:val="auto"/>
                <w:sz w:val="18"/>
                <w:szCs w:val="18"/>
              </w:rPr>
              <w:t>车船使用税</w:t>
            </w:r>
          </w:p>
        </w:tc>
        <w:tc>
          <w:tcPr>
            <w:tcW w:w="1658"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12,122.34</w:t>
            </w:r>
          </w:p>
        </w:tc>
        <w:tc>
          <w:tcPr>
            <w:tcW w:w="1659"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asciiTheme="minorEastAsia" w:hAnsiTheme="minorEastAsia" w:eastAsiaTheme="minorEastAsia"/>
                <w:color w:val="auto"/>
                <w:sz w:val="18"/>
                <w:szCs w:val="18"/>
              </w:rPr>
              <w:t>13,601.87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54" w:hRule="atLeast"/>
        </w:trPr>
        <w:tc>
          <w:tcPr>
            <w:tcW w:w="1683" w:type="pct"/>
            <w:tcBorders>
              <w:top w:val="single" w:color="auto" w:sz="4" w:space="0"/>
              <w:bottom w:val="single" w:color="auto" w:sz="4" w:space="0"/>
            </w:tcBorders>
            <w:vAlign w:val="bottom"/>
          </w:tcPr>
          <w:p>
            <w:pPr>
              <w:rPr>
                <w:rFonts w:ascii="宋体" w:hAnsi="宋体"/>
                <w:color w:val="auto"/>
                <w:sz w:val="18"/>
                <w:szCs w:val="18"/>
              </w:rPr>
            </w:pPr>
            <w:r>
              <w:rPr>
                <w:rFonts w:hint="eastAsia" w:ascii="宋体" w:hAnsi="宋体"/>
                <w:color w:val="auto"/>
                <w:sz w:val="18"/>
                <w:szCs w:val="18"/>
              </w:rPr>
              <w:t>印花税</w:t>
            </w:r>
          </w:p>
        </w:tc>
        <w:tc>
          <w:tcPr>
            <w:tcW w:w="1658"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235,681.88</w:t>
            </w:r>
          </w:p>
        </w:tc>
        <w:tc>
          <w:tcPr>
            <w:tcW w:w="1659"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asciiTheme="minorEastAsia" w:hAnsiTheme="minorEastAsia" w:eastAsiaTheme="minorEastAsia"/>
                <w:color w:val="auto"/>
                <w:sz w:val="18"/>
                <w:szCs w:val="18"/>
              </w:rPr>
              <w:t>182,895.56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54" w:hRule="atLeast"/>
        </w:trPr>
        <w:tc>
          <w:tcPr>
            <w:tcW w:w="1683" w:type="pct"/>
            <w:tcBorders>
              <w:top w:val="single" w:color="auto" w:sz="4" w:space="0"/>
              <w:bottom w:val="single" w:color="auto" w:sz="4" w:space="0"/>
            </w:tcBorders>
            <w:vAlign w:val="bottom"/>
          </w:tcPr>
          <w:p>
            <w:pPr>
              <w:rPr>
                <w:rFonts w:ascii="宋体" w:hAnsi="宋体"/>
                <w:color w:val="auto"/>
                <w:sz w:val="18"/>
                <w:szCs w:val="18"/>
              </w:rPr>
            </w:pPr>
            <w:r>
              <w:rPr>
                <w:rFonts w:hint="eastAsia" w:ascii="宋体" w:hAnsi="宋体"/>
                <w:color w:val="auto"/>
                <w:sz w:val="18"/>
                <w:szCs w:val="18"/>
              </w:rPr>
              <w:t>其他</w:t>
            </w:r>
          </w:p>
        </w:tc>
        <w:tc>
          <w:tcPr>
            <w:tcW w:w="1658"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9,270.05</w:t>
            </w:r>
          </w:p>
        </w:tc>
        <w:tc>
          <w:tcPr>
            <w:tcW w:w="1659"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asciiTheme="minorEastAsia" w:hAnsiTheme="minorEastAsia" w:eastAsiaTheme="minorEastAsia"/>
                <w:color w:val="auto"/>
                <w:sz w:val="18"/>
                <w:szCs w:val="18"/>
              </w:rPr>
              <w:t>5,868.92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54" w:hRule="atLeast"/>
        </w:trPr>
        <w:tc>
          <w:tcPr>
            <w:tcW w:w="1683" w:type="pct"/>
            <w:tcBorders>
              <w:top w:val="single" w:color="auto" w:sz="12" w:space="0"/>
              <w:bottom w:val="single" w:color="auto" w:sz="12" w:space="0"/>
            </w:tcBorders>
            <w:vAlign w:val="bottom"/>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合计</w:t>
            </w:r>
          </w:p>
        </w:tc>
        <w:tc>
          <w:tcPr>
            <w:tcW w:w="1658" w:type="pct"/>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5,359,823.88</w:t>
            </w:r>
          </w:p>
        </w:tc>
        <w:tc>
          <w:tcPr>
            <w:tcW w:w="1659" w:type="pct"/>
            <w:tcBorders>
              <w:top w:val="single" w:color="auto" w:sz="12" w:space="0"/>
              <w:bottom w:val="single" w:color="auto" w:sz="12" w:space="0"/>
            </w:tcBorders>
            <w:vAlign w:val="bottom"/>
          </w:tcPr>
          <w:p>
            <w:pPr>
              <w:jc w:val="right"/>
              <w:rPr>
                <w:rFonts w:cs="宋体" w:asciiTheme="majorEastAsia" w:hAnsiTheme="majorEastAsia" w:eastAsiaTheme="majorEastAsia"/>
                <w:b/>
                <w:bCs/>
                <w:color w:val="auto"/>
                <w:sz w:val="18"/>
                <w:szCs w:val="18"/>
              </w:rPr>
            </w:pPr>
            <w:r>
              <w:rPr>
                <w:rFonts w:hint="eastAsia" w:asciiTheme="minorEastAsia" w:hAnsiTheme="minorEastAsia" w:eastAsiaTheme="minorEastAsia"/>
                <w:b/>
                <w:bCs/>
                <w:color w:val="auto"/>
                <w:sz w:val="18"/>
                <w:szCs w:val="18"/>
              </w:rPr>
              <w:t>3,857,106.19</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36、销售费用</w:t>
      </w:r>
    </w:p>
    <w:tbl>
      <w:tblPr>
        <w:tblStyle w:val="9"/>
        <w:tblW w:w="5000" w:type="pct"/>
        <w:tblCaption w:val="&quot;\\lisheng\共享\1、伟隆2022年度审计\1、2022年度审计\1、附注及报告\2022年\附注计算-伟隆 - 2022.xlsx&quot; &quot;2022附注格式!_ReportTable_0076&quot;"/>
        <w:tblDescription w:val="A623:C631"/>
        <w:tblInd w:w="0" w:type="dxa"/>
        <w:tblLayout w:type="autofit"/>
        <w:tblCellMar>
          <w:top w:w="0" w:type="dxa"/>
          <w:left w:w="30" w:type="dxa"/>
          <w:bottom w:w="0" w:type="dxa"/>
          <w:right w:w="30" w:type="dxa"/>
        </w:tblCellMar>
      </w:tblPr>
      <w:tblGrid>
        <w:gridCol w:w="3264"/>
        <w:gridCol w:w="3216"/>
        <w:gridCol w:w="3217"/>
      </w:tblGrid>
      <w:tr>
        <w:tblPrEx>
          <w:tblCellMar>
            <w:top w:w="0" w:type="dxa"/>
            <w:left w:w="30" w:type="dxa"/>
            <w:bottom w:w="0" w:type="dxa"/>
            <w:right w:w="30" w:type="dxa"/>
          </w:tblCellMar>
        </w:tblPrEx>
        <w:trPr>
          <w:trHeight w:val="454" w:hRule="atLeast"/>
        </w:trPr>
        <w:tc>
          <w:tcPr>
            <w:tcW w:w="1683" w:type="pct"/>
            <w:tcBorders>
              <w:top w:val="single" w:color="auto" w:sz="12"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w:t>
            </w:r>
            <w:r>
              <w:rPr>
                <w:rFonts w:asciiTheme="minorEastAsia" w:hAnsiTheme="minorEastAsia" w:eastAsiaTheme="minorEastAsia"/>
                <w:b/>
                <w:bCs/>
                <w:color w:val="auto"/>
                <w:sz w:val="18"/>
                <w:szCs w:val="18"/>
              </w:rPr>
              <w:t xml:space="preserve">   目</w:t>
            </w:r>
          </w:p>
        </w:tc>
        <w:tc>
          <w:tcPr>
            <w:tcW w:w="1658" w:type="pct"/>
            <w:tcBorders>
              <w:top w:val="single" w:color="auto" w:sz="12" w:space="0"/>
              <w:bottom w:val="single" w:color="auto" w:sz="12" w:space="0"/>
              <w:right w:val="single" w:color="auto" w:sz="4"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本期发生额</w:t>
            </w:r>
          </w:p>
        </w:tc>
        <w:tc>
          <w:tcPr>
            <w:tcW w:w="1659" w:type="pct"/>
            <w:tcBorders>
              <w:top w:val="single" w:color="auto" w:sz="12"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上期发生额</w:t>
            </w:r>
          </w:p>
        </w:tc>
      </w:tr>
      <w:tr>
        <w:tblPrEx>
          <w:tblCellMar>
            <w:top w:w="0" w:type="dxa"/>
            <w:left w:w="30" w:type="dxa"/>
            <w:bottom w:w="0" w:type="dxa"/>
            <w:right w:w="30" w:type="dxa"/>
          </w:tblCellMar>
        </w:tblPrEx>
        <w:trPr>
          <w:trHeight w:val="454" w:hRule="atLeast"/>
        </w:trPr>
        <w:tc>
          <w:tcPr>
            <w:tcW w:w="1683" w:type="pct"/>
            <w:tcBorders>
              <w:top w:val="single" w:color="auto" w:sz="4" w:space="0"/>
              <w:bottom w:val="single" w:color="auto" w:sz="4" w:space="0"/>
              <w:right w:val="single" w:color="auto" w:sz="4" w:space="0"/>
            </w:tcBorders>
            <w:vAlign w:val="bottom"/>
          </w:tcPr>
          <w:p>
            <w:pP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办公费及差旅费</w:t>
            </w:r>
          </w:p>
        </w:tc>
        <w:tc>
          <w:tcPr>
            <w:tcW w:w="1658" w:type="pct"/>
            <w:tcBorders>
              <w:top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hint="eastAsia" w:ascii="宋体" w:hAnsi="宋体" w:cs="宋体"/>
                <w:color w:val="auto"/>
                <w:kern w:val="0"/>
                <w:sz w:val="18"/>
                <w:szCs w:val="18"/>
              </w:rPr>
              <w:t xml:space="preserve">         191,937.13 </w:t>
            </w:r>
          </w:p>
        </w:tc>
        <w:tc>
          <w:tcPr>
            <w:tcW w:w="1659" w:type="pct"/>
            <w:tcBorders>
              <w:top w:val="single" w:color="auto" w:sz="4" w:space="0"/>
              <w:bottom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hint="eastAsia" w:ascii="宋体" w:hAnsi="宋体" w:cs="宋体"/>
                <w:color w:val="auto"/>
                <w:kern w:val="0"/>
                <w:sz w:val="18"/>
                <w:szCs w:val="18"/>
              </w:rPr>
              <w:t>205,104.03</w:t>
            </w:r>
          </w:p>
        </w:tc>
      </w:tr>
      <w:tr>
        <w:tblPrEx>
          <w:tblCellMar>
            <w:top w:w="0" w:type="dxa"/>
            <w:left w:w="30" w:type="dxa"/>
            <w:bottom w:w="0" w:type="dxa"/>
            <w:right w:w="30" w:type="dxa"/>
          </w:tblCellMar>
        </w:tblPrEx>
        <w:trPr>
          <w:trHeight w:val="454" w:hRule="atLeast"/>
        </w:trPr>
        <w:tc>
          <w:tcPr>
            <w:tcW w:w="1683" w:type="pct"/>
            <w:tcBorders>
              <w:top w:val="single" w:color="auto" w:sz="4" w:space="0"/>
              <w:bottom w:val="single" w:color="auto" w:sz="4" w:space="0"/>
              <w:right w:val="single" w:color="auto" w:sz="4" w:space="0"/>
            </w:tcBorders>
            <w:vAlign w:val="bottom"/>
          </w:tcPr>
          <w:p>
            <w:pP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工资及附加</w:t>
            </w:r>
          </w:p>
        </w:tc>
        <w:tc>
          <w:tcPr>
            <w:tcW w:w="1658" w:type="pct"/>
            <w:tcBorders>
              <w:top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4,899,265.95</w:t>
            </w:r>
          </w:p>
        </w:tc>
        <w:tc>
          <w:tcPr>
            <w:tcW w:w="1659"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ascii="宋体" w:hAnsi="宋体" w:cs="宋体"/>
                <w:color w:val="auto"/>
                <w:kern w:val="0"/>
                <w:sz w:val="18"/>
                <w:szCs w:val="18"/>
              </w:rPr>
              <w:t xml:space="preserve">       3,091,424.90 </w:t>
            </w:r>
          </w:p>
        </w:tc>
      </w:tr>
      <w:tr>
        <w:tblPrEx>
          <w:tblCellMar>
            <w:top w:w="0" w:type="dxa"/>
            <w:left w:w="30" w:type="dxa"/>
            <w:bottom w:w="0" w:type="dxa"/>
            <w:right w:w="30" w:type="dxa"/>
          </w:tblCellMar>
        </w:tblPrEx>
        <w:trPr>
          <w:trHeight w:val="454" w:hRule="atLeast"/>
        </w:trPr>
        <w:tc>
          <w:tcPr>
            <w:tcW w:w="1683" w:type="pct"/>
            <w:tcBorders>
              <w:top w:val="single" w:color="auto" w:sz="4" w:space="0"/>
              <w:bottom w:val="single" w:color="auto" w:sz="4" w:space="0"/>
              <w:right w:val="single" w:color="auto" w:sz="4" w:space="0"/>
            </w:tcBorders>
            <w:vAlign w:val="bottom"/>
          </w:tcPr>
          <w:p>
            <w:pP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业务宣传费及展位费</w:t>
            </w:r>
          </w:p>
        </w:tc>
        <w:tc>
          <w:tcPr>
            <w:tcW w:w="1658" w:type="pct"/>
            <w:tcBorders>
              <w:top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635,049.17</w:t>
            </w:r>
          </w:p>
        </w:tc>
        <w:tc>
          <w:tcPr>
            <w:tcW w:w="1659"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ascii="宋体" w:hAnsi="宋体" w:cs="宋体"/>
                <w:color w:val="auto"/>
                <w:kern w:val="0"/>
                <w:sz w:val="18"/>
                <w:szCs w:val="18"/>
              </w:rPr>
              <w:t xml:space="preserve">         547,929.26 </w:t>
            </w:r>
          </w:p>
        </w:tc>
      </w:tr>
      <w:tr>
        <w:tblPrEx>
          <w:tblCellMar>
            <w:top w:w="0" w:type="dxa"/>
            <w:left w:w="30" w:type="dxa"/>
            <w:bottom w:w="0" w:type="dxa"/>
            <w:right w:w="30" w:type="dxa"/>
          </w:tblCellMar>
        </w:tblPrEx>
        <w:trPr>
          <w:trHeight w:val="454" w:hRule="atLeast"/>
        </w:trPr>
        <w:tc>
          <w:tcPr>
            <w:tcW w:w="1683" w:type="pct"/>
            <w:tcBorders>
              <w:top w:val="single" w:color="auto" w:sz="4" w:space="0"/>
              <w:bottom w:val="single" w:color="auto" w:sz="4" w:space="0"/>
              <w:right w:val="single" w:color="auto" w:sz="4" w:space="0"/>
            </w:tcBorders>
            <w:vAlign w:val="bottom"/>
          </w:tcPr>
          <w:p>
            <w:pP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检验费及认证费</w:t>
            </w:r>
          </w:p>
        </w:tc>
        <w:tc>
          <w:tcPr>
            <w:tcW w:w="1658" w:type="pct"/>
            <w:tcBorders>
              <w:top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5,688,384.50</w:t>
            </w:r>
          </w:p>
        </w:tc>
        <w:tc>
          <w:tcPr>
            <w:tcW w:w="1659"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ascii="宋体" w:hAnsi="宋体" w:cs="宋体"/>
                <w:color w:val="auto"/>
                <w:kern w:val="0"/>
                <w:sz w:val="18"/>
                <w:szCs w:val="18"/>
              </w:rPr>
              <w:t xml:space="preserve">       6,932,266.12 </w:t>
            </w:r>
          </w:p>
        </w:tc>
      </w:tr>
      <w:tr>
        <w:tblPrEx>
          <w:tblCellMar>
            <w:top w:w="0" w:type="dxa"/>
            <w:left w:w="30" w:type="dxa"/>
            <w:bottom w:w="0" w:type="dxa"/>
            <w:right w:w="30" w:type="dxa"/>
          </w:tblCellMar>
        </w:tblPrEx>
        <w:trPr>
          <w:trHeight w:val="454" w:hRule="atLeast"/>
        </w:trPr>
        <w:tc>
          <w:tcPr>
            <w:tcW w:w="1683" w:type="pct"/>
            <w:tcBorders>
              <w:top w:val="single" w:color="auto" w:sz="4" w:space="0"/>
              <w:bottom w:val="single" w:color="auto" w:sz="4" w:space="0"/>
              <w:right w:val="single" w:color="auto" w:sz="4" w:space="0"/>
            </w:tcBorders>
            <w:vAlign w:val="bottom"/>
          </w:tcPr>
          <w:p>
            <w:pP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佣金及咨询费</w:t>
            </w:r>
          </w:p>
        </w:tc>
        <w:tc>
          <w:tcPr>
            <w:tcW w:w="1658" w:type="pct"/>
            <w:tcBorders>
              <w:top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17,240,033.89</w:t>
            </w:r>
          </w:p>
        </w:tc>
        <w:tc>
          <w:tcPr>
            <w:tcW w:w="1659"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ascii="宋体" w:hAnsi="宋体" w:cs="宋体"/>
                <w:color w:val="auto"/>
                <w:kern w:val="0"/>
                <w:sz w:val="18"/>
                <w:szCs w:val="18"/>
              </w:rPr>
              <w:t xml:space="preserve">      15,492,495.37 </w:t>
            </w:r>
          </w:p>
        </w:tc>
      </w:tr>
      <w:tr>
        <w:tblPrEx>
          <w:tblCellMar>
            <w:top w:w="0" w:type="dxa"/>
            <w:left w:w="30" w:type="dxa"/>
            <w:bottom w:w="0" w:type="dxa"/>
            <w:right w:w="30" w:type="dxa"/>
          </w:tblCellMar>
        </w:tblPrEx>
        <w:trPr>
          <w:trHeight w:val="454" w:hRule="atLeast"/>
        </w:trPr>
        <w:tc>
          <w:tcPr>
            <w:tcW w:w="1683" w:type="pct"/>
            <w:tcBorders>
              <w:top w:val="single" w:color="auto" w:sz="4" w:space="0"/>
              <w:bottom w:val="single" w:color="auto" w:sz="4" w:space="0"/>
              <w:right w:val="single" w:color="auto" w:sz="4" w:space="0"/>
            </w:tcBorders>
            <w:vAlign w:val="bottom"/>
          </w:tcPr>
          <w:p>
            <w:pP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水电费、通讯费及其他</w:t>
            </w:r>
          </w:p>
        </w:tc>
        <w:tc>
          <w:tcPr>
            <w:tcW w:w="1658" w:type="pct"/>
            <w:tcBorders>
              <w:top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622,905.92</w:t>
            </w:r>
          </w:p>
        </w:tc>
        <w:tc>
          <w:tcPr>
            <w:tcW w:w="1659"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ascii="宋体" w:hAnsi="宋体" w:cs="宋体"/>
                <w:color w:val="auto"/>
                <w:kern w:val="0"/>
                <w:sz w:val="18"/>
                <w:szCs w:val="18"/>
              </w:rPr>
              <w:t xml:space="preserve">       1,024,041.60 </w:t>
            </w:r>
          </w:p>
        </w:tc>
      </w:tr>
      <w:tr>
        <w:tblPrEx>
          <w:tblCellMar>
            <w:top w:w="0" w:type="dxa"/>
            <w:left w:w="30" w:type="dxa"/>
            <w:bottom w:w="0" w:type="dxa"/>
            <w:right w:w="30" w:type="dxa"/>
          </w:tblCellMar>
        </w:tblPrEx>
        <w:trPr>
          <w:trHeight w:val="454" w:hRule="atLeast"/>
        </w:trPr>
        <w:tc>
          <w:tcPr>
            <w:tcW w:w="1683" w:type="pct"/>
            <w:tcBorders>
              <w:top w:val="single" w:color="auto" w:sz="4" w:space="0"/>
              <w:bottom w:val="single" w:color="auto" w:sz="12" w:space="0"/>
              <w:right w:val="single" w:color="auto" w:sz="4" w:space="0"/>
            </w:tcBorders>
            <w:vAlign w:val="bottom"/>
          </w:tcPr>
          <w:p>
            <w:pPr>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出口保险费用</w:t>
            </w:r>
          </w:p>
        </w:tc>
        <w:tc>
          <w:tcPr>
            <w:tcW w:w="1658" w:type="pct"/>
            <w:tcBorders>
              <w:top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hint="eastAsia" w:ascii="宋体" w:hAnsi="宋体"/>
                <w:color w:val="auto"/>
                <w:sz w:val="18"/>
                <w:szCs w:val="18"/>
              </w:rPr>
              <w:t xml:space="preserve">       1,706,666.33 </w:t>
            </w:r>
          </w:p>
        </w:tc>
        <w:tc>
          <w:tcPr>
            <w:tcW w:w="1659" w:type="pct"/>
            <w:tcBorders>
              <w:top w:val="single" w:color="auto" w:sz="4" w:space="0"/>
              <w:bottom w:val="single" w:color="auto" w:sz="12" w:space="0"/>
            </w:tcBorders>
            <w:vAlign w:val="bottom"/>
          </w:tcPr>
          <w:p>
            <w:pPr>
              <w:jc w:val="right"/>
              <w:rPr>
                <w:rFonts w:ascii="宋体" w:hAnsi="宋体" w:cs="宋体"/>
                <w:color w:val="auto"/>
                <w:kern w:val="0"/>
                <w:sz w:val="18"/>
                <w:szCs w:val="18"/>
              </w:rPr>
            </w:pPr>
            <w:r>
              <w:rPr>
                <w:rFonts w:hint="eastAsia" w:ascii="宋体" w:hAnsi="宋体"/>
                <w:color w:val="auto"/>
                <w:sz w:val="18"/>
                <w:szCs w:val="18"/>
              </w:rPr>
              <w:t>589,944.79</w:t>
            </w:r>
          </w:p>
        </w:tc>
      </w:tr>
      <w:tr>
        <w:tblPrEx>
          <w:tblCellMar>
            <w:top w:w="0" w:type="dxa"/>
            <w:left w:w="30" w:type="dxa"/>
            <w:bottom w:w="0" w:type="dxa"/>
            <w:right w:w="30" w:type="dxa"/>
          </w:tblCellMar>
        </w:tblPrEx>
        <w:trPr>
          <w:trHeight w:val="454" w:hRule="atLeast"/>
        </w:trPr>
        <w:tc>
          <w:tcPr>
            <w:tcW w:w="1683" w:type="pct"/>
            <w:tcBorders>
              <w:top w:val="single" w:color="auto" w:sz="12" w:space="0"/>
              <w:bottom w:val="single" w:color="auto" w:sz="12" w:space="0"/>
              <w:right w:val="single" w:color="auto" w:sz="4" w:space="0"/>
            </w:tcBorders>
            <w:vAlign w:val="bottom"/>
          </w:tcPr>
          <w:p>
            <w:pPr>
              <w:jc w:val="center"/>
              <w:rPr>
                <w:rFonts w:cs="宋体" w:asciiTheme="majorEastAsia" w:hAnsiTheme="majorEastAsia" w:eastAsiaTheme="majorEastAsia"/>
                <w:b/>
                <w:bCs/>
                <w:color w:val="auto"/>
                <w:sz w:val="18"/>
                <w:szCs w:val="18"/>
              </w:rPr>
            </w:pPr>
            <w:r>
              <w:rPr>
                <w:rFonts w:hint="eastAsia" w:asciiTheme="majorEastAsia" w:hAnsiTheme="majorEastAsia" w:eastAsiaTheme="majorEastAsia"/>
                <w:b/>
                <w:bCs/>
                <w:color w:val="auto"/>
                <w:sz w:val="18"/>
                <w:szCs w:val="18"/>
              </w:rPr>
              <w:t>合计</w:t>
            </w:r>
          </w:p>
        </w:tc>
        <w:tc>
          <w:tcPr>
            <w:tcW w:w="1658" w:type="pct"/>
            <w:tcBorders>
              <w:top w:val="single" w:color="auto" w:sz="12" w:space="0"/>
              <w:bottom w:val="single" w:color="auto" w:sz="12"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30,984,242.89</w:t>
            </w:r>
          </w:p>
        </w:tc>
        <w:tc>
          <w:tcPr>
            <w:tcW w:w="1659" w:type="pct"/>
            <w:tcBorders>
              <w:top w:val="single" w:color="auto" w:sz="12" w:space="0"/>
              <w:bottom w:val="single" w:color="auto" w:sz="12" w:space="0"/>
            </w:tcBorders>
            <w:vAlign w:val="bottom"/>
          </w:tcPr>
          <w:p>
            <w:pPr>
              <w:jc w:val="right"/>
              <w:rPr>
                <w:rFonts w:cs="宋体" w:asciiTheme="majorEastAsia" w:hAnsiTheme="majorEastAsia" w:eastAsiaTheme="majorEastAsia"/>
                <w:b/>
                <w:bCs/>
                <w:color w:val="auto"/>
                <w:sz w:val="18"/>
                <w:szCs w:val="18"/>
              </w:rPr>
            </w:pPr>
            <w:r>
              <w:rPr>
                <w:rFonts w:ascii="宋体" w:hAnsi="宋体" w:cs="宋体"/>
                <w:b/>
                <w:bCs/>
                <w:color w:val="auto"/>
                <w:kern w:val="0"/>
                <w:sz w:val="18"/>
                <w:szCs w:val="18"/>
              </w:rPr>
              <w:t xml:space="preserve">    27,883,206.07 </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37、管理费用</w:t>
      </w:r>
    </w:p>
    <w:tbl>
      <w:tblPr>
        <w:tblStyle w:val="9"/>
        <w:tblW w:w="5000" w:type="pct"/>
        <w:tblCaption w:val="&quot;\\lisheng\共享\1、伟隆2022年度审计\1、2022年度审计\1、附注及报告\2022年\附注计算-伟隆 - 2022.xlsx&quot; &quot;2022附注格式!_ReportTable_0077&quot;"/>
        <w:tblDescription w:val="A633:C640"/>
        <w:tblInd w:w="0" w:type="dxa"/>
        <w:tblLayout w:type="autofit"/>
        <w:tblCellMar>
          <w:top w:w="0" w:type="dxa"/>
          <w:left w:w="30" w:type="dxa"/>
          <w:bottom w:w="0" w:type="dxa"/>
          <w:right w:w="30" w:type="dxa"/>
        </w:tblCellMar>
      </w:tblPr>
      <w:tblGrid>
        <w:gridCol w:w="3264"/>
        <w:gridCol w:w="3216"/>
        <w:gridCol w:w="3217"/>
      </w:tblGrid>
      <w:tr>
        <w:tblPrEx>
          <w:tblCellMar>
            <w:top w:w="0" w:type="dxa"/>
            <w:left w:w="30" w:type="dxa"/>
            <w:bottom w:w="0" w:type="dxa"/>
            <w:right w:w="30" w:type="dxa"/>
          </w:tblCellMar>
        </w:tblPrEx>
        <w:trPr>
          <w:trHeight w:val="454" w:hRule="atLeast"/>
        </w:trPr>
        <w:tc>
          <w:tcPr>
            <w:tcW w:w="1683" w:type="pct"/>
            <w:tcBorders>
              <w:top w:val="single" w:color="auto" w:sz="12"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w:t>
            </w:r>
            <w:r>
              <w:rPr>
                <w:rFonts w:asciiTheme="minorEastAsia" w:hAnsiTheme="minorEastAsia" w:eastAsiaTheme="minorEastAsia"/>
                <w:b/>
                <w:bCs/>
                <w:color w:val="auto"/>
                <w:sz w:val="18"/>
                <w:szCs w:val="18"/>
              </w:rPr>
              <w:t xml:space="preserve">   目</w:t>
            </w:r>
          </w:p>
        </w:tc>
        <w:tc>
          <w:tcPr>
            <w:tcW w:w="1658" w:type="pct"/>
            <w:tcBorders>
              <w:top w:val="single" w:color="auto" w:sz="12" w:space="0"/>
              <w:bottom w:val="single" w:color="auto" w:sz="12" w:space="0"/>
              <w:right w:val="single" w:color="auto" w:sz="4"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本期发生额</w:t>
            </w:r>
          </w:p>
        </w:tc>
        <w:tc>
          <w:tcPr>
            <w:tcW w:w="1659" w:type="pct"/>
            <w:tcBorders>
              <w:top w:val="single" w:color="auto" w:sz="12"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上期发生额</w:t>
            </w:r>
          </w:p>
        </w:tc>
      </w:tr>
      <w:tr>
        <w:tblPrEx>
          <w:tblCellMar>
            <w:top w:w="0" w:type="dxa"/>
            <w:left w:w="30" w:type="dxa"/>
            <w:bottom w:w="0" w:type="dxa"/>
            <w:right w:w="30" w:type="dxa"/>
          </w:tblCellMar>
        </w:tblPrEx>
        <w:trPr>
          <w:trHeight w:val="454" w:hRule="atLeast"/>
        </w:trPr>
        <w:tc>
          <w:tcPr>
            <w:tcW w:w="1683"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办公费及差旅费</w:t>
            </w:r>
          </w:p>
        </w:tc>
        <w:tc>
          <w:tcPr>
            <w:tcW w:w="1658"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488,325.03</w:t>
            </w:r>
          </w:p>
        </w:tc>
        <w:tc>
          <w:tcPr>
            <w:tcW w:w="1659"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568,511.42</w:t>
            </w:r>
          </w:p>
        </w:tc>
      </w:tr>
      <w:tr>
        <w:tblPrEx>
          <w:tblCellMar>
            <w:top w:w="0" w:type="dxa"/>
            <w:left w:w="30" w:type="dxa"/>
            <w:bottom w:w="0" w:type="dxa"/>
            <w:right w:w="30" w:type="dxa"/>
          </w:tblCellMar>
        </w:tblPrEx>
        <w:trPr>
          <w:trHeight w:val="454" w:hRule="atLeast"/>
        </w:trPr>
        <w:tc>
          <w:tcPr>
            <w:tcW w:w="1683"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业务招待费</w:t>
            </w:r>
          </w:p>
        </w:tc>
        <w:tc>
          <w:tcPr>
            <w:tcW w:w="1658"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269,573.92</w:t>
            </w:r>
          </w:p>
        </w:tc>
        <w:tc>
          <w:tcPr>
            <w:tcW w:w="1659"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399,528.32</w:t>
            </w:r>
          </w:p>
        </w:tc>
      </w:tr>
      <w:tr>
        <w:tblPrEx>
          <w:tblCellMar>
            <w:top w:w="0" w:type="dxa"/>
            <w:left w:w="30" w:type="dxa"/>
            <w:bottom w:w="0" w:type="dxa"/>
            <w:right w:w="30" w:type="dxa"/>
          </w:tblCellMar>
        </w:tblPrEx>
        <w:trPr>
          <w:trHeight w:val="454" w:hRule="atLeast"/>
        </w:trPr>
        <w:tc>
          <w:tcPr>
            <w:tcW w:w="1683"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工资及附加</w:t>
            </w:r>
          </w:p>
        </w:tc>
        <w:tc>
          <w:tcPr>
            <w:tcW w:w="1658"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17,874,095.74</w:t>
            </w:r>
          </w:p>
        </w:tc>
        <w:tc>
          <w:tcPr>
            <w:tcW w:w="1659"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12,101,182.01</w:t>
            </w:r>
          </w:p>
        </w:tc>
      </w:tr>
      <w:tr>
        <w:tblPrEx>
          <w:tblCellMar>
            <w:top w:w="0" w:type="dxa"/>
            <w:left w:w="30" w:type="dxa"/>
            <w:bottom w:w="0" w:type="dxa"/>
            <w:right w:w="30" w:type="dxa"/>
          </w:tblCellMar>
        </w:tblPrEx>
        <w:trPr>
          <w:trHeight w:val="454" w:hRule="atLeast"/>
        </w:trPr>
        <w:tc>
          <w:tcPr>
            <w:tcW w:w="1683"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折旧及摊销</w:t>
            </w:r>
          </w:p>
        </w:tc>
        <w:tc>
          <w:tcPr>
            <w:tcW w:w="1658"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3,763,214.65</w:t>
            </w:r>
          </w:p>
        </w:tc>
        <w:tc>
          <w:tcPr>
            <w:tcW w:w="1659"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4,031,424.91</w:t>
            </w:r>
          </w:p>
        </w:tc>
      </w:tr>
      <w:tr>
        <w:tblPrEx>
          <w:tblCellMar>
            <w:top w:w="0" w:type="dxa"/>
            <w:left w:w="30" w:type="dxa"/>
            <w:bottom w:w="0" w:type="dxa"/>
            <w:right w:w="30" w:type="dxa"/>
          </w:tblCellMar>
        </w:tblPrEx>
        <w:trPr>
          <w:trHeight w:val="454" w:hRule="atLeast"/>
        </w:trPr>
        <w:tc>
          <w:tcPr>
            <w:tcW w:w="1683"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股权激励费</w:t>
            </w:r>
          </w:p>
        </w:tc>
        <w:tc>
          <w:tcPr>
            <w:tcW w:w="1658"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4,502,410.26</w:t>
            </w:r>
          </w:p>
        </w:tc>
        <w:tc>
          <w:tcPr>
            <w:tcW w:w="1659"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729,867.41</w:t>
            </w:r>
          </w:p>
        </w:tc>
      </w:tr>
      <w:tr>
        <w:tblPrEx>
          <w:tblCellMar>
            <w:top w:w="0" w:type="dxa"/>
            <w:left w:w="30" w:type="dxa"/>
            <w:bottom w:w="0" w:type="dxa"/>
            <w:right w:w="30" w:type="dxa"/>
          </w:tblCellMar>
        </w:tblPrEx>
        <w:trPr>
          <w:trHeight w:val="454" w:hRule="atLeast"/>
        </w:trPr>
        <w:tc>
          <w:tcPr>
            <w:tcW w:w="1683"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其他</w:t>
            </w:r>
          </w:p>
        </w:tc>
        <w:tc>
          <w:tcPr>
            <w:tcW w:w="1658"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5,378,460.77</w:t>
            </w:r>
          </w:p>
        </w:tc>
        <w:tc>
          <w:tcPr>
            <w:tcW w:w="1659"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3,970,697.31</w:t>
            </w:r>
          </w:p>
        </w:tc>
      </w:tr>
      <w:tr>
        <w:tblPrEx>
          <w:tblCellMar>
            <w:top w:w="0" w:type="dxa"/>
            <w:left w:w="30" w:type="dxa"/>
            <w:bottom w:w="0" w:type="dxa"/>
            <w:right w:w="30" w:type="dxa"/>
          </w:tblCellMar>
        </w:tblPrEx>
        <w:trPr>
          <w:trHeight w:val="454" w:hRule="atLeast"/>
        </w:trPr>
        <w:tc>
          <w:tcPr>
            <w:tcW w:w="1683" w:type="pct"/>
            <w:tcBorders>
              <w:top w:val="single" w:color="auto" w:sz="12" w:space="0"/>
              <w:bottom w:val="single" w:color="auto" w:sz="12" w:space="0"/>
              <w:right w:val="single" w:color="auto" w:sz="4" w:space="0"/>
            </w:tcBorders>
            <w:vAlign w:val="bottom"/>
          </w:tcPr>
          <w:p>
            <w:pPr>
              <w:jc w:val="center"/>
              <w:rPr>
                <w:rFonts w:ascii="宋体" w:hAnsi="宋体" w:cs="宋体"/>
                <w:b/>
                <w:bCs/>
                <w:color w:val="auto"/>
                <w:sz w:val="18"/>
                <w:szCs w:val="18"/>
              </w:rPr>
            </w:pPr>
            <w:r>
              <w:rPr>
                <w:rFonts w:hint="eastAsia" w:ascii="宋体" w:hAnsi="宋体"/>
                <w:b/>
                <w:bCs/>
                <w:color w:val="auto"/>
                <w:sz w:val="18"/>
                <w:szCs w:val="18"/>
              </w:rPr>
              <w:t>合计</w:t>
            </w:r>
          </w:p>
        </w:tc>
        <w:tc>
          <w:tcPr>
            <w:tcW w:w="1658" w:type="pct"/>
            <w:tcBorders>
              <w:top w:val="single" w:color="auto" w:sz="12"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32,276,080.37</w:t>
            </w:r>
          </w:p>
        </w:tc>
        <w:tc>
          <w:tcPr>
            <w:tcW w:w="1659" w:type="pct"/>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21,801,211.38</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38、研发费用</w:t>
      </w:r>
    </w:p>
    <w:tbl>
      <w:tblPr>
        <w:tblStyle w:val="9"/>
        <w:tblW w:w="0" w:type="auto"/>
        <w:tblCaption w:val="&quot;\\lisheng\共享\1、伟隆2022年度审计\1、2022年度审计\1、附注及报告\2022年\附注计算-伟隆 - 2022.xlsx&quot; &quot;2022附注格式!_ReportTable_0078&quot;"/>
        <w:tblDescription w:val="A642:C649"/>
        <w:tblInd w:w="0" w:type="dxa"/>
        <w:tblLayout w:type="fixed"/>
        <w:tblCellMar>
          <w:top w:w="0" w:type="dxa"/>
          <w:left w:w="30" w:type="dxa"/>
          <w:bottom w:w="0" w:type="dxa"/>
          <w:right w:w="30" w:type="dxa"/>
        </w:tblCellMar>
      </w:tblPr>
      <w:tblGrid>
        <w:gridCol w:w="2965"/>
        <w:gridCol w:w="2965"/>
        <w:gridCol w:w="2965"/>
      </w:tblGrid>
      <w:tr>
        <w:tblPrEx>
          <w:tblCellMar>
            <w:top w:w="0" w:type="dxa"/>
            <w:left w:w="30" w:type="dxa"/>
            <w:bottom w:w="0" w:type="dxa"/>
            <w:right w:w="30" w:type="dxa"/>
          </w:tblCellMar>
        </w:tblPrEx>
        <w:trPr>
          <w:trHeight w:val="454" w:hRule="atLeast"/>
        </w:trPr>
        <w:tc>
          <w:tcPr>
            <w:tcW w:w="2965" w:type="dxa"/>
            <w:tcBorders>
              <w:top w:val="single" w:color="auto" w:sz="12" w:space="0"/>
              <w:bottom w:val="single" w:color="auto" w:sz="12" w:space="0"/>
              <w:right w:val="single" w:color="auto" w:sz="4" w:space="0"/>
            </w:tcBorders>
            <w:vAlign w:val="center"/>
          </w:tcPr>
          <w:p>
            <w:pPr>
              <w:jc w:val="center"/>
              <w:rPr>
                <w:rFonts w:ascii="宋体" w:hAnsi="宋体" w:cs="宋体"/>
                <w:b/>
                <w:bCs/>
                <w:color w:val="auto"/>
                <w:sz w:val="18"/>
                <w:szCs w:val="18"/>
              </w:rPr>
            </w:pPr>
            <w:r>
              <w:rPr>
                <w:rFonts w:hint="eastAsia"/>
                <w:b/>
                <w:bCs/>
                <w:color w:val="auto"/>
                <w:sz w:val="18"/>
                <w:szCs w:val="18"/>
              </w:rPr>
              <w:t>项  目</w:t>
            </w:r>
          </w:p>
        </w:tc>
        <w:tc>
          <w:tcPr>
            <w:tcW w:w="2965"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cs="宋体"/>
                <w:b/>
                <w:bCs/>
                <w:color w:val="auto"/>
                <w:sz w:val="18"/>
                <w:szCs w:val="18"/>
              </w:rPr>
            </w:pPr>
            <w:r>
              <w:rPr>
                <w:rFonts w:hint="eastAsia"/>
                <w:b/>
                <w:bCs/>
                <w:color w:val="auto"/>
                <w:sz w:val="18"/>
                <w:szCs w:val="18"/>
              </w:rPr>
              <w:t>本期发生额</w:t>
            </w:r>
          </w:p>
        </w:tc>
        <w:tc>
          <w:tcPr>
            <w:tcW w:w="2965" w:type="dxa"/>
            <w:tcBorders>
              <w:top w:val="single" w:color="auto" w:sz="12" w:space="0"/>
              <w:left w:val="single" w:color="auto" w:sz="4" w:space="0"/>
              <w:bottom w:val="single" w:color="auto" w:sz="12" w:space="0"/>
            </w:tcBorders>
            <w:vAlign w:val="center"/>
          </w:tcPr>
          <w:p>
            <w:pPr>
              <w:jc w:val="center"/>
              <w:rPr>
                <w:rFonts w:ascii="宋体" w:hAnsi="宋体" w:cs="宋体"/>
                <w:b/>
                <w:bCs/>
                <w:color w:val="auto"/>
                <w:sz w:val="18"/>
                <w:szCs w:val="18"/>
              </w:rPr>
            </w:pPr>
            <w:r>
              <w:rPr>
                <w:rFonts w:hint="eastAsia"/>
                <w:b/>
                <w:bCs/>
                <w:color w:val="auto"/>
                <w:sz w:val="18"/>
                <w:szCs w:val="18"/>
              </w:rPr>
              <w:t>上期发生额</w:t>
            </w:r>
          </w:p>
        </w:tc>
      </w:tr>
      <w:tr>
        <w:tblPrEx>
          <w:tblCellMar>
            <w:top w:w="0" w:type="dxa"/>
            <w:left w:w="30" w:type="dxa"/>
            <w:bottom w:w="0" w:type="dxa"/>
            <w:right w:w="30" w:type="dxa"/>
          </w:tblCellMar>
        </w:tblPrEx>
        <w:trPr>
          <w:trHeight w:val="454" w:hRule="atLeast"/>
        </w:trPr>
        <w:tc>
          <w:tcPr>
            <w:tcW w:w="2965" w:type="dxa"/>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ascii="宋体" w:hAnsi="宋体"/>
                <w:color w:val="auto"/>
                <w:sz w:val="18"/>
                <w:szCs w:val="18"/>
              </w:rPr>
              <w:t>工资及附加</w:t>
            </w:r>
          </w:p>
        </w:tc>
        <w:tc>
          <w:tcPr>
            <w:tcW w:w="2965"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14,900,475.69</w:t>
            </w:r>
          </w:p>
        </w:tc>
        <w:tc>
          <w:tcPr>
            <w:tcW w:w="2965" w:type="dxa"/>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10,905,142.79 </w:t>
            </w:r>
          </w:p>
        </w:tc>
      </w:tr>
      <w:tr>
        <w:tblPrEx>
          <w:tblCellMar>
            <w:top w:w="0" w:type="dxa"/>
            <w:left w:w="30" w:type="dxa"/>
            <w:bottom w:w="0" w:type="dxa"/>
            <w:right w:w="30" w:type="dxa"/>
          </w:tblCellMar>
        </w:tblPrEx>
        <w:trPr>
          <w:trHeight w:val="454" w:hRule="atLeast"/>
        </w:trPr>
        <w:tc>
          <w:tcPr>
            <w:tcW w:w="2965" w:type="dxa"/>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color w:val="auto"/>
                <w:sz w:val="18"/>
                <w:szCs w:val="18"/>
              </w:rPr>
              <w:t>折旧费</w:t>
            </w:r>
          </w:p>
        </w:tc>
        <w:tc>
          <w:tcPr>
            <w:tcW w:w="2965" w:type="dxa"/>
            <w:tcBorders>
              <w:top w:val="single" w:color="auto" w:sz="4" w:space="0"/>
              <w:left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1,507,833.23</w:t>
            </w:r>
          </w:p>
        </w:tc>
        <w:tc>
          <w:tcPr>
            <w:tcW w:w="2965" w:type="dxa"/>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1,263,107.20 </w:t>
            </w:r>
          </w:p>
        </w:tc>
      </w:tr>
      <w:tr>
        <w:tblPrEx>
          <w:tblCellMar>
            <w:top w:w="0" w:type="dxa"/>
            <w:left w:w="30" w:type="dxa"/>
            <w:bottom w:w="0" w:type="dxa"/>
            <w:right w:w="30" w:type="dxa"/>
          </w:tblCellMar>
        </w:tblPrEx>
        <w:trPr>
          <w:trHeight w:val="454" w:hRule="atLeast"/>
        </w:trPr>
        <w:tc>
          <w:tcPr>
            <w:tcW w:w="2965" w:type="dxa"/>
            <w:tcBorders>
              <w:top w:val="single" w:color="auto" w:sz="4" w:space="0"/>
              <w:bottom w:val="single" w:color="auto" w:sz="4" w:space="0"/>
              <w:right w:val="single" w:color="auto" w:sz="4" w:space="0"/>
            </w:tcBorders>
            <w:vAlign w:val="bottom"/>
          </w:tcPr>
          <w:p>
            <w:pPr>
              <w:rPr>
                <w:color w:val="auto"/>
                <w:sz w:val="18"/>
                <w:szCs w:val="18"/>
              </w:rPr>
            </w:pPr>
            <w:r>
              <w:rPr>
                <w:rFonts w:hint="eastAsia"/>
                <w:color w:val="auto"/>
                <w:sz w:val="18"/>
                <w:szCs w:val="18"/>
              </w:rPr>
              <w:t>材料费用</w:t>
            </w:r>
          </w:p>
        </w:tc>
        <w:tc>
          <w:tcPr>
            <w:tcW w:w="2965"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s="宋体"/>
                <w:color w:val="auto"/>
                <w:kern w:val="0"/>
                <w:sz w:val="18"/>
                <w:szCs w:val="18"/>
              </w:rPr>
              <w:t xml:space="preserve">9,883,602.40 </w:t>
            </w:r>
          </w:p>
        </w:tc>
        <w:tc>
          <w:tcPr>
            <w:tcW w:w="2965" w:type="dxa"/>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11,968,693.76 </w:t>
            </w:r>
          </w:p>
        </w:tc>
      </w:tr>
      <w:tr>
        <w:tblPrEx>
          <w:tblCellMar>
            <w:top w:w="0" w:type="dxa"/>
            <w:left w:w="30" w:type="dxa"/>
            <w:bottom w:w="0" w:type="dxa"/>
            <w:right w:w="30" w:type="dxa"/>
          </w:tblCellMar>
        </w:tblPrEx>
        <w:trPr>
          <w:trHeight w:val="454" w:hRule="atLeast"/>
        </w:trPr>
        <w:tc>
          <w:tcPr>
            <w:tcW w:w="2965" w:type="dxa"/>
            <w:tcBorders>
              <w:top w:val="single" w:color="auto" w:sz="4" w:space="0"/>
              <w:bottom w:val="single" w:color="auto" w:sz="4" w:space="0"/>
              <w:right w:val="single" w:color="auto" w:sz="4" w:space="0"/>
            </w:tcBorders>
            <w:vAlign w:val="bottom"/>
          </w:tcPr>
          <w:p>
            <w:pPr>
              <w:rPr>
                <w:color w:val="auto"/>
                <w:sz w:val="18"/>
                <w:szCs w:val="18"/>
              </w:rPr>
            </w:pPr>
            <w:r>
              <w:rPr>
                <w:rFonts w:hint="eastAsia"/>
                <w:color w:val="auto"/>
                <w:sz w:val="18"/>
                <w:szCs w:val="18"/>
              </w:rPr>
              <w:t>其他费用</w:t>
            </w:r>
          </w:p>
        </w:tc>
        <w:tc>
          <w:tcPr>
            <w:tcW w:w="2965"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s="宋体"/>
                <w:color w:val="auto"/>
                <w:kern w:val="0"/>
                <w:sz w:val="18"/>
                <w:szCs w:val="18"/>
              </w:rPr>
              <w:t xml:space="preserve">212,775.95 </w:t>
            </w:r>
          </w:p>
        </w:tc>
        <w:tc>
          <w:tcPr>
            <w:tcW w:w="2965" w:type="dxa"/>
            <w:tcBorders>
              <w:top w:val="single" w:color="auto" w:sz="4" w:space="0"/>
              <w:left w:val="single" w:color="auto" w:sz="4" w:space="0"/>
              <w:bottom w:val="single" w:color="auto" w:sz="4" w:space="0"/>
            </w:tcBorders>
            <w:vAlign w:val="bottom"/>
          </w:tcPr>
          <w:p>
            <w:pPr>
              <w:jc w:val="right"/>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59,110.57</w:t>
            </w:r>
          </w:p>
        </w:tc>
      </w:tr>
      <w:tr>
        <w:tblPrEx>
          <w:tblCellMar>
            <w:top w:w="0" w:type="dxa"/>
            <w:left w:w="30" w:type="dxa"/>
            <w:bottom w:w="0" w:type="dxa"/>
            <w:right w:w="30" w:type="dxa"/>
          </w:tblCellMar>
        </w:tblPrEx>
        <w:trPr>
          <w:trHeight w:val="454" w:hRule="atLeast"/>
        </w:trPr>
        <w:tc>
          <w:tcPr>
            <w:tcW w:w="2965" w:type="dxa"/>
            <w:tcBorders>
              <w:top w:val="single" w:color="auto" w:sz="12" w:space="0"/>
              <w:bottom w:val="single" w:color="auto" w:sz="12" w:space="0"/>
              <w:right w:val="single" w:color="auto" w:sz="4" w:space="0"/>
            </w:tcBorders>
            <w:vAlign w:val="bottom"/>
          </w:tcPr>
          <w:p>
            <w:pPr>
              <w:jc w:val="center"/>
              <w:rPr>
                <w:rFonts w:ascii="宋体" w:hAnsi="宋体" w:cs="宋体"/>
                <w:b/>
                <w:bCs/>
                <w:color w:val="auto"/>
                <w:sz w:val="18"/>
                <w:szCs w:val="18"/>
              </w:rPr>
            </w:pPr>
            <w:r>
              <w:rPr>
                <w:rFonts w:hint="eastAsia"/>
                <w:b/>
                <w:bCs/>
                <w:color w:val="auto"/>
                <w:sz w:val="18"/>
                <w:szCs w:val="18"/>
              </w:rPr>
              <w:t>合计</w:t>
            </w:r>
          </w:p>
        </w:tc>
        <w:tc>
          <w:tcPr>
            <w:tcW w:w="2965" w:type="dxa"/>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26,504,687.27</w:t>
            </w:r>
          </w:p>
        </w:tc>
        <w:tc>
          <w:tcPr>
            <w:tcW w:w="2965" w:type="dxa"/>
            <w:tcBorders>
              <w:top w:val="single" w:color="auto" w:sz="12" w:space="0"/>
              <w:left w:val="single" w:color="auto" w:sz="4" w:space="0"/>
              <w:bottom w:val="single" w:color="auto" w:sz="12" w:space="0"/>
            </w:tcBorders>
            <w:vAlign w:val="bottom"/>
          </w:tcPr>
          <w:p>
            <w:pPr>
              <w:jc w:val="right"/>
              <w:rPr>
                <w:rFonts w:cs="宋体" w:asciiTheme="majorEastAsia" w:hAnsiTheme="majorEastAsia" w:eastAsiaTheme="majorEastAsia"/>
                <w:b/>
                <w:bCs/>
                <w:color w:val="auto"/>
                <w:sz w:val="18"/>
                <w:szCs w:val="18"/>
              </w:rPr>
            </w:pPr>
            <w:r>
              <w:rPr>
                <w:rFonts w:hint="eastAsia" w:asciiTheme="minorEastAsia" w:hAnsiTheme="minorEastAsia" w:eastAsiaTheme="minorEastAsia"/>
                <w:b/>
                <w:bCs/>
                <w:color w:val="auto"/>
                <w:sz w:val="18"/>
                <w:szCs w:val="18"/>
              </w:rPr>
              <w:t>24,196,054.32</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39、财务费用</w:t>
      </w:r>
    </w:p>
    <w:tbl>
      <w:tblPr>
        <w:tblStyle w:val="9"/>
        <w:tblW w:w="5000" w:type="pct"/>
        <w:tblCaption w:val="&quot;\\lisheng\共享\1、伟隆2022年度审计\1、2022年度审计\1、附注及报告\2022年\附注计算-伟隆 - 2022.xlsx&quot; &quot;2022附注格式!_ReportTable_0079&quot;"/>
        <w:tblDescription w:val="A651:C656"/>
        <w:tblInd w:w="0" w:type="dxa"/>
        <w:tblLayout w:type="autofit"/>
        <w:tblCellMar>
          <w:top w:w="0" w:type="dxa"/>
          <w:left w:w="30" w:type="dxa"/>
          <w:bottom w:w="0" w:type="dxa"/>
          <w:right w:w="30" w:type="dxa"/>
        </w:tblCellMar>
      </w:tblPr>
      <w:tblGrid>
        <w:gridCol w:w="3264"/>
        <w:gridCol w:w="3216"/>
        <w:gridCol w:w="3217"/>
      </w:tblGrid>
      <w:tr>
        <w:tblPrEx>
          <w:tblCellMar>
            <w:top w:w="0" w:type="dxa"/>
            <w:left w:w="30" w:type="dxa"/>
            <w:bottom w:w="0" w:type="dxa"/>
            <w:right w:w="30" w:type="dxa"/>
          </w:tblCellMar>
        </w:tblPrEx>
        <w:trPr>
          <w:trHeight w:val="454" w:hRule="atLeast"/>
        </w:trPr>
        <w:tc>
          <w:tcPr>
            <w:tcW w:w="1683" w:type="pct"/>
            <w:tcBorders>
              <w:top w:val="single" w:color="auto" w:sz="12"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w:t>
            </w:r>
            <w:r>
              <w:rPr>
                <w:rFonts w:asciiTheme="minorEastAsia" w:hAnsiTheme="minorEastAsia" w:eastAsiaTheme="minorEastAsia"/>
                <w:b/>
                <w:bCs/>
                <w:color w:val="auto"/>
                <w:sz w:val="18"/>
                <w:szCs w:val="18"/>
              </w:rPr>
              <w:t xml:space="preserve">   目</w:t>
            </w:r>
          </w:p>
        </w:tc>
        <w:tc>
          <w:tcPr>
            <w:tcW w:w="1658" w:type="pct"/>
            <w:tcBorders>
              <w:top w:val="single" w:color="auto" w:sz="12" w:space="0"/>
              <w:bottom w:val="single" w:color="auto" w:sz="12" w:space="0"/>
              <w:right w:val="single" w:color="auto" w:sz="4"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本期发生额</w:t>
            </w:r>
          </w:p>
        </w:tc>
        <w:tc>
          <w:tcPr>
            <w:tcW w:w="1659" w:type="pct"/>
            <w:tcBorders>
              <w:top w:val="single" w:color="auto" w:sz="12"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上期发生额</w:t>
            </w:r>
          </w:p>
        </w:tc>
      </w:tr>
      <w:tr>
        <w:tblPrEx>
          <w:tblCellMar>
            <w:top w:w="0" w:type="dxa"/>
            <w:left w:w="30" w:type="dxa"/>
            <w:bottom w:w="0" w:type="dxa"/>
            <w:right w:w="30" w:type="dxa"/>
          </w:tblCellMar>
        </w:tblPrEx>
        <w:trPr>
          <w:trHeight w:val="454" w:hRule="atLeast"/>
        </w:trPr>
        <w:tc>
          <w:tcPr>
            <w:tcW w:w="1683" w:type="pct"/>
            <w:tcBorders>
              <w:top w:val="single" w:color="auto" w:sz="4" w:space="0"/>
              <w:bottom w:val="single" w:color="auto" w:sz="4" w:space="0"/>
              <w:right w:val="single" w:color="auto" w:sz="4" w:space="0"/>
            </w:tcBorders>
            <w:vAlign w:val="bottom"/>
          </w:tcPr>
          <w:p>
            <w:pPr>
              <w:rPr>
                <w:rFonts w:ascii="宋体"/>
                <w:color w:val="auto"/>
                <w:sz w:val="18"/>
                <w:szCs w:val="18"/>
              </w:rPr>
            </w:pPr>
            <w:r>
              <w:rPr>
                <w:rFonts w:hint="eastAsia" w:ascii="宋体" w:hAnsi="宋体"/>
                <w:color w:val="auto"/>
                <w:sz w:val="18"/>
                <w:szCs w:val="18"/>
              </w:rPr>
              <w:t>利息支出</w:t>
            </w:r>
          </w:p>
        </w:tc>
        <w:tc>
          <w:tcPr>
            <w:tcW w:w="1658"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1,198,249.99</w:t>
            </w:r>
          </w:p>
        </w:tc>
        <w:tc>
          <w:tcPr>
            <w:tcW w:w="1659"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xml:space="preserve">      1,021,052.77 </w:t>
            </w:r>
          </w:p>
        </w:tc>
      </w:tr>
      <w:tr>
        <w:tblPrEx>
          <w:tblCellMar>
            <w:top w:w="0" w:type="dxa"/>
            <w:left w:w="30" w:type="dxa"/>
            <w:bottom w:w="0" w:type="dxa"/>
            <w:right w:w="30" w:type="dxa"/>
          </w:tblCellMar>
        </w:tblPrEx>
        <w:trPr>
          <w:trHeight w:val="454" w:hRule="atLeast"/>
        </w:trPr>
        <w:tc>
          <w:tcPr>
            <w:tcW w:w="1683" w:type="pct"/>
            <w:tcBorders>
              <w:top w:val="single" w:color="auto" w:sz="4" w:space="0"/>
              <w:bottom w:val="single" w:color="auto" w:sz="4" w:space="0"/>
              <w:right w:val="single" w:color="auto" w:sz="4" w:space="0"/>
            </w:tcBorders>
            <w:vAlign w:val="bottom"/>
          </w:tcPr>
          <w:p>
            <w:pPr>
              <w:rPr>
                <w:rFonts w:ascii="宋体"/>
                <w:color w:val="auto"/>
                <w:sz w:val="18"/>
                <w:szCs w:val="18"/>
              </w:rPr>
            </w:pPr>
            <w:r>
              <w:rPr>
                <w:rFonts w:hint="eastAsia" w:ascii="宋体" w:hAnsi="宋体"/>
                <w:color w:val="auto"/>
                <w:sz w:val="18"/>
                <w:szCs w:val="18"/>
              </w:rPr>
              <w:t>减：利息收入</w:t>
            </w:r>
          </w:p>
        </w:tc>
        <w:tc>
          <w:tcPr>
            <w:tcW w:w="1658"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471,144.35</w:t>
            </w:r>
          </w:p>
        </w:tc>
        <w:tc>
          <w:tcPr>
            <w:tcW w:w="1659"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xml:space="preserve">        275,540.94 </w:t>
            </w:r>
          </w:p>
        </w:tc>
      </w:tr>
      <w:tr>
        <w:tblPrEx>
          <w:tblCellMar>
            <w:top w:w="0" w:type="dxa"/>
            <w:left w:w="30" w:type="dxa"/>
            <w:bottom w:w="0" w:type="dxa"/>
            <w:right w:w="30" w:type="dxa"/>
          </w:tblCellMar>
        </w:tblPrEx>
        <w:trPr>
          <w:trHeight w:val="454" w:hRule="atLeast"/>
        </w:trPr>
        <w:tc>
          <w:tcPr>
            <w:tcW w:w="1683" w:type="pct"/>
            <w:tcBorders>
              <w:top w:val="single" w:color="auto" w:sz="4" w:space="0"/>
              <w:bottom w:val="single" w:color="auto" w:sz="4" w:space="0"/>
              <w:right w:val="single" w:color="auto" w:sz="4" w:space="0"/>
            </w:tcBorders>
            <w:vAlign w:val="bottom"/>
          </w:tcPr>
          <w:p>
            <w:pPr>
              <w:rPr>
                <w:rFonts w:ascii="宋体"/>
                <w:color w:val="auto"/>
                <w:sz w:val="18"/>
                <w:szCs w:val="18"/>
              </w:rPr>
            </w:pPr>
            <w:r>
              <w:rPr>
                <w:rFonts w:hint="eastAsia" w:ascii="宋体" w:hAnsi="宋体"/>
                <w:color w:val="auto"/>
                <w:sz w:val="18"/>
                <w:szCs w:val="18"/>
              </w:rPr>
              <w:t>手续费</w:t>
            </w:r>
          </w:p>
        </w:tc>
        <w:tc>
          <w:tcPr>
            <w:tcW w:w="1658"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571,242.46</w:t>
            </w:r>
          </w:p>
        </w:tc>
        <w:tc>
          <w:tcPr>
            <w:tcW w:w="1659"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xml:space="preserve">        411,091.23 </w:t>
            </w:r>
          </w:p>
        </w:tc>
      </w:tr>
      <w:tr>
        <w:tblPrEx>
          <w:tblCellMar>
            <w:top w:w="0" w:type="dxa"/>
            <w:left w:w="30" w:type="dxa"/>
            <w:bottom w:w="0" w:type="dxa"/>
            <w:right w:w="30" w:type="dxa"/>
          </w:tblCellMar>
        </w:tblPrEx>
        <w:trPr>
          <w:trHeight w:val="454" w:hRule="atLeast"/>
        </w:trPr>
        <w:tc>
          <w:tcPr>
            <w:tcW w:w="1683"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汇兑损益</w:t>
            </w:r>
          </w:p>
        </w:tc>
        <w:tc>
          <w:tcPr>
            <w:tcW w:w="1658"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-8,328,202.31</w:t>
            </w:r>
          </w:p>
        </w:tc>
        <w:tc>
          <w:tcPr>
            <w:tcW w:w="1659"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xml:space="preserve">      1,391,609.20 </w:t>
            </w:r>
          </w:p>
        </w:tc>
      </w:tr>
      <w:tr>
        <w:tblPrEx>
          <w:tblCellMar>
            <w:top w:w="0" w:type="dxa"/>
            <w:left w:w="30" w:type="dxa"/>
            <w:bottom w:w="0" w:type="dxa"/>
            <w:right w:w="30" w:type="dxa"/>
          </w:tblCellMar>
        </w:tblPrEx>
        <w:trPr>
          <w:trHeight w:val="454" w:hRule="atLeast"/>
        </w:trPr>
        <w:tc>
          <w:tcPr>
            <w:tcW w:w="1683" w:type="pct"/>
            <w:tcBorders>
              <w:top w:val="single" w:color="auto" w:sz="12" w:space="0"/>
              <w:bottom w:val="single" w:color="auto" w:sz="12" w:space="0"/>
              <w:right w:val="single" w:color="auto" w:sz="4" w:space="0"/>
            </w:tcBorders>
            <w:vAlign w:val="bottom"/>
          </w:tcPr>
          <w:p>
            <w:pPr>
              <w:jc w:val="center"/>
              <w:rPr>
                <w:rFonts w:ascii="宋体" w:hAnsi="宋体" w:cs="宋体"/>
                <w:b/>
                <w:bCs/>
                <w:color w:val="auto"/>
                <w:sz w:val="18"/>
                <w:szCs w:val="18"/>
              </w:rPr>
            </w:pPr>
            <w:r>
              <w:rPr>
                <w:rFonts w:hint="eastAsia"/>
                <w:b/>
                <w:bCs/>
                <w:color w:val="auto"/>
                <w:sz w:val="18"/>
                <w:szCs w:val="18"/>
              </w:rPr>
              <w:t>合计</w:t>
            </w:r>
          </w:p>
        </w:tc>
        <w:tc>
          <w:tcPr>
            <w:tcW w:w="1658" w:type="pct"/>
            <w:tcBorders>
              <w:top w:val="single" w:color="auto" w:sz="12"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-7,029,854.21</w:t>
            </w:r>
          </w:p>
        </w:tc>
        <w:tc>
          <w:tcPr>
            <w:tcW w:w="1659" w:type="pct"/>
            <w:tcBorders>
              <w:top w:val="single" w:color="auto" w:sz="12" w:space="0"/>
              <w:bottom w:val="single" w:color="auto" w:sz="12" w:space="0"/>
            </w:tcBorders>
            <w:vAlign w:val="bottom"/>
          </w:tcPr>
          <w:p>
            <w:pPr>
              <w:jc w:val="right"/>
              <w:rPr>
                <w:rFonts w:cs="宋体" w:asciiTheme="majorEastAsia" w:hAnsiTheme="majorEastAsia" w:eastAsiaTheme="majorEastAsia"/>
                <w:b/>
                <w:bCs/>
                <w:color w:val="auto"/>
                <w:sz w:val="18"/>
                <w:szCs w:val="18"/>
              </w:rPr>
            </w:pPr>
            <w:r>
              <w:rPr>
                <w:rFonts w:hint="eastAsia" w:asciiTheme="minorEastAsia" w:hAnsiTheme="minorEastAsia" w:eastAsiaTheme="minorEastAsia"/>
                <w:b/>
                <w:bCs/>
                <w:color w:val="auto"/>
                <w:sz w:val="18"/>
                <w:szCs w:val="18"/>
              </w:rPr>
              <w:t xml:space="preserve">    2,548,212.26 </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40、其他收益</w:t>
      </w:r>
    </w:p>
    <w:tbl>
      <w:tblPr>
        <w:tblStyle w:val="9"/>
        <w:tblW w:w="8931" w:type="dxa"/>
        <w:tblInd w:w="28"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28" w:type="dxa"/>
          <w:bottom w:w="0" w:type="dxa"/>
          <w:right w:w="28" w:type="dxa"/>
        </w:tblCellMar>
      </w:tblPr>
      <w:tblGrid>
        <w:gridCol w:w="2977"/>
        <w:gridCol w:w="2977"/>
        <w:gridCol w:w="2977"/>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blHeader/>
        </w:trPr>
        <w:tc>
          <w:tcPr>
            <w:tcW w:w="2977" w:type="dxa"/>
            <w:tcBorders>
              <w:top w:val="single" w:color="auto" w:sz="12" w:space="0"/>
              <w:bottom w:val="single" w:color="auto" w:sz="12" w:space="0"/>
              <w:right w:val="single" w:color="auto" w:sz="4" w:space="0"/>
            </w:tcBorders>
            <w:vAlign w:val="center"/>
          </w:tcPr>
          <w:p>
            <w:pPr>
              <w:jc w:val="center"/>
              <w:rPr>
                <w:b/>
                <w:color w:val="auto"/>
                <w:sz w:val="18"/>
                <w:szCs w:val="18"/>
              </w:rPr>
            </w:pPr>
            <w:r>
              <w:rPr>
                <w:b/>
                <w:color w:val="auto"/>
                <w:sz w:val="18"/>
                <w:szCs w:val="18"/>
              </w:rPr>
              <w:t>产生其他收益的来源</w:t>
            </w:r>
          </w:p>
        </w:tc>
        <w:tc>
          <w:tcPr>
            <w:tcW w:w="2977" w:type="dxa"/>
            <w:tcBorders>
              <w:top w:val="single" w:color="auto" w:sz="12" w:space="0"/>
              <w:left w:val="single" w:color="auto" w:sz="4" w:space="0"/>
              <w:bottom w:val="single" w:color="auto" w:sz="12" w:space="0"/>
              <w:right w:val="single" w:color="auto" w:sz="4" w:space="0"/>
            </w:tcBorders>
            <w:vAlign w:val="center"/>
          </w:tcPr>
          <w:p>
            <w:pPr>
              <w:jc w:val="center"/>
              <w:rPr>
                <w:b/>
                <w:color w:val="auto"/>
                <w:sz w:val="18"/>
                <w:szCs w:val="18"/>
              </w:rPr>
            </w:pPr>
            <w:r>
              <w:rPr>
                <w:b/>
                <w:color w:val="auto"/>
                <w:sz w:val="18"/>
                <w:szCs w:val="18"/>
              </w:rPr>
              <w:t>本期发生额</w:t>
            </w:r>
          </w:p>
        </w:tc>
        <w:tc>
          <w:tcPr>
            <w:tcW w:w="2977" w:type="dxa"/>
            <w:tcBorders>
              <w:top w:val="single" w:color="auto" w:sz="12" w:space="0"/>
              <w:left w:val="single" w:color="auto" w:sz="4" w:space="0"/>
              <w:bottom w:val="single" w:color="auto" w:sz="12" w:space="0"/>
            </w:tcBorders>
            <w:vAlign w:val="center"/>
          </w:tcPr>
          <w:p>
            <w:pPr>
              <w:jc w:val="center"/>
              <w:rPr>
                <w:b/>
                <w:color w:val="auto"/>
                <w:sz w:val="18"/>
                <w:szCs w:val="18"/>
              </w:rPr>
            </w:pPr>
            <w:r>
              <w:rPr>
                <w:b/>
                <w:color w:val="auto"/>
                <w:sz w:val="18"/>
                <w:szCs w:val="18"/>
              </w:rPr>
              <w:t>上期发生额</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2977" w:type="dxa"/>
            <w:tcBorders>
              <w:top w:val="single" w:color="auto" w:sz="12" w:space="0"/>
              <w:bottom w:val="single" w:color="auto" w:sz="4" w:space="0"/>
              <w:right w:val="single" w:color="auto" w:sz="4" w:space="0"/>
            </w:tcBorders>
            <w:vAlign w:val="bottom"/>
          </w:tcPr>
          <w:p>
            <w:pPr>
              <w:rPr>
                <w:color w:val="auto"/>
                <w:sz w:val="18"/>
                <w:szCs w:val="18"/>
              </w:rPr>
            </w:pPr>
            <w:r>
              <w:rPr>
                <w:color w:val="auto"/>
                <w:sz w:val="18"/>
              </w:rPr>
              <w:t>与资产相关的政府补助</w:t>
            </w:r>
          </w:p>
        </w:tc>
        <w:tc>
          <w:tcPr>
            <w:tcW w:w="2977" w:type="dxa"/>
            <w:tcBorders>
              <w:top w:val="single" w:color="auto" w:sz="12" w:space="0"/>
              <w:left w:val="single" w:color="auto" w:sz="4" w:space="0"/>
              <w:bottom w:val="single" w:color="auto" w:sz="4" w:space="0"/>
              <w:right w:val="single" w:color="auto" w:sz="4" w:space="0"/>
            </w:tcBorders>
            <w:vAlign w:val="bottom"/>
          </w:tcPr>
          <w:p>
            <w:pPr>
              <w:jc w:val="right"/>
              <w:rPr>
                <w:rFonts w:ascii="宋体" w:hAnsi="宋体"/>
                <w:color w:val="auto"/>
                <w:sz w:val="18"/>
                <w:szCs w:val="18"/>
              </w:rPr>
            </w:pPr>
            <w:r>
              <w:rPr>
                <w:rFonts w:hint="eastAsia" w:ascii="宋体" w:hAnsi="宋体"/>
                <w:color w:val="auto"/>
                <w:sz w:val="18"/>
                <w:szCs w:val="18"/>
              </w:rPr>
              <w:t xml:space="preserve">865,239.86 </w:t>
            </w:r>
          </w:p>
        </w:tc>
        <w:tc>
          <w:tcPr>
            <w:tcW w:w="2977" w:type="dxa"/>
            <w:tcBorders>
              <w:top w:val="single" w:color="auto" w:sz="12" w:space="0"/>
              <w:left w:val="single" w:color="auto" w:sz="4" w:space="0"/>
              <w:bottom w:val="single" w:color="auto" w:sz="4" w:space="0"/>
            </w:tcBorders>
            <w:vAlign w:val="bottom"/>
          </w:tcPr>
          <w:p>
            <w:pPr>
              <w:jc w:val="right"/>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 xml:space="preserve">790,888.52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2977" w:type="dxa"/>
            <w:tcBorders>
              <w:top w:val="single" w:color="auto" w:sz="4" w:space="0"/>
              <w:bottom w:val="single" w:color="auto" w:sz="4" w:space="0"/>
              <w:right w:val="single" w:color="auto" w:sz="4" w:space="0"/>
            </w:tcBorders>
            <w:vAlign w:val="bottom"/>
          </w:tcPr>
          <w:p>
            <w:pPr>
              <w:rPr>
                <w:color w:val="auto"/>
                <w:sz w:val="18"/>
                <w:szCs w:val="18"/>
              </w:rPr>
            </w:pPr>
            <w:r>
              <w:rPr>
                <w:color w:val="auto"/>
                <w:sz w:val="18"/>
              </w:rPr>
              <w:t>与收益相关的政府补助</w:t>
            </w:r>
          </w:p>
        </w:tc>
        <w:tc>
          <w:tcPr>
            <w:tcW w:w="2977"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olor w:val="auto"/>
                <w:sz w:val="18"/>
                <w:szCs w:val="18"/>
              </w:rPr>
            </w:pPr>
            <w:r>
              <w:rPr>
                <w:rFonts w:ascii="宋体" w:hAnsi="宋体"/>
                <w:color w:val="auto"/>
                <w:sz w:val="18"/>
                <w:szCs w:val="18"/>
              </w:rPr>
              <w:t xml:space="preserve">2,417,176.31 </w:t>
            </w:r>
            <w:r>
              <w:rPr>
                <w:rFonts w:hint="eastAsia" w:ascii="宋体" w:hAnsi="宋体"/>
                <w:color w:val="auto"/>
                <w:sz w:val="18"/>
                <w:szCs w:val="18"/>
              </w:rPr>
              <w:t xml:space="preserve"> </w:t>
            </w:r>
          </w:p>
        </w:tc>
        <w:tc>
          <w:tcPr>
            <w:tcW w:w="2977" w:type="dxa"/>
            <w:tcBorders>
              <w:top w:val="single" w:color="auto" w:sz="4" w:space="0"/>
              <w:left w:val="single" w:color="auto" w:sz="4" w:space="0"/>
              <w:bottom w:val="single" w:color="auto" w:sz="4" w:space="0"/>
            </w:tcBorders>
            <w:vAlign w:val="bottom"/>
          </w:tcPr>
          <w:p>
            <w:pPr>
              <w:jc w:val="right"/>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 xml:space="preserve">2,224,000.65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PrEx>
        <w:trPr>
          <w:trHeight w:val="454" w:hRule="atLeast"/>
        </w:trPr>
        <w:tc>
          <w:tcPr>
            <w:tcW w:w="2977" w:type="dxa"/>
            <w:tcBorders>
              <w:top w:val="single" w:color="auto" w:sz="4" w:space="0"/>
              <w:bottom w:val="single" w:color="auto" w:sz="4" w:space="0"/>
              <w:right w:val="single" w:color="auto" w:sz="4" w:space="0"/>
            </w:tcBorders>
            <w:vAlign w:val="bottom"/>
          </w:tcPr>
          <w:p>
            <w:pPr>
              <w:widowControl/>
              <w:rPr>
                <w:color w:val="auto"/>
                <w:kern w:val="0"/>
                <w:sz w:val="18"/>
                <w:szCs w:val="18"/>
              </w:rPr>
            </w:pPr>
            <w:r>
              <w:rPr>
                <w:rFonts w:hint="eastAsia"/>
                <w:color w:val="auto"/>
                <w:sz w:val="18"/>
                <w:szCs w:val="18"/>
              </w:rPr>
              <w:t>退伍军人附加税减免</w:t>
            </w:r>
          </w:p>
        </w:tc>
        <w:tc>
          <w:tcPr>
            <w:tcW w:w="2977"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olor w:val="auto"/>
                <w:sz w:val="18"/>
                <w:szCs w:val="18"/>
              </w:rPr>
            </w:pPr>
            <w:r>
              <w:rPr>
                <w:rFonts w:hint="eastAsia" w:ascii="宋体" w:hAnsi="宋体"/>
                <w:color w:val="auto"/>
                <w:sz w:val="18"/>
                <w:szCs w:val="18"/>
              </w:rPr>
              <w:t xml:space="preserve">36,000.00 </w:t>
            </w:r>
          </w:p>
        </w:tc>
        <w:tc>
          <w:tcPr>
            <w:tcW w:w="2977" w:type="dxa"/>
            <w:tcBorders>
              <w:top w:val="single" w:color="auto" w:sz="4" w:space="0"/>
              <w:left w:val="single" w:color="auto" w:sz="4" w:space="0"/>
              <w:bottom w:val="single" w:color="auto" w:sz="4" w:space="0"/>
            </w:tcBorders>
            <w:vAlign w:val="bottom"/>
          </w:tcPr>
          <w:p>
            <w:pPr>
              <w:jc w:val="right"/>
              <w:rPr>
                <w:rFonts w:asciiTheme="minorEastAsia" w:hAnsiTheme="minorEastAsia" w:eastAsiaTheme="minorEastAsia"/>
                <w:color w:val="auto"/>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PrEx>
        <w:trPr>
          <w:trHeight w:val="454" w:hRule="atLeast"/>
        </w:trPr>
        <w:tc>
          <w:tcPr>
            <w:tcW w:w="2977" w:type="dxa"/>
            <w:tcBorders>
              <w:top w:val="single" w:color="auto" w:sz="4" w:space="0"/>
              <w:bottom w:val="single" w:color="auto" w:sz="4" w:space="0"/>
              <w:right w:val="single" w:color="auto" w:sz="4" w:space="0"/>
            </w:tcBorders>
            <w:vAlign w:val="bottom"/>
          </w:tcPr>
          <w:p>
            <w:pPr>
              <w:rPr>
                <w:color w:val="auto"/>
                <w:sz w:val="18"/>
              </w:rPr>
            </w:pPr>
            <w:r>
              <w:rPr>
                <w:color w:val="auto"/>
                <w:sz w:val="18"/>
              </w:rPr>
              <w:t>手续费返还</w:t>
            </w:r>
          </w:p>
        </w:tc>
        <w:tc>
          <w:tcPr>
            <w:tcW w:w="2977"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olor w:val="auto"/>
                <w:sz w:val="18"/>
                <w:szCs w:val="18"/>
              </w:rPr>
            </w:pPr>
            <w:r>
              <w:rPr>
                <w:rFonts w:hint="eastAsia" w:ascii="宋体" w:hAnsi="宋体"/>
                <w:color w:val="auto"/>
                <w:sz w:val="18"/>
                <w:szCs w:val="18"/>
              </w:rPr>
              <w:t xml:space="preserve">44,931.21 </w:t>
            </w:r>
          </w:p>
        </w:tc>
        <w:tc>
          <w:tcPr>
            <w:tcW w:w="2977" w:type="dxa"/>
            <w:tcBorders>
              <w:top w:val="single" w:color="auto" w:sz="4" w:space="0"/>
              <w:left w:val="single" w:color="auto" w:sz="4" w:space="0"/>
              <w:bottom w:val="single" w:color="auto" w:sz="4" w:space="0"/>
            </w:tcBorders>
            <w:vAlign w:val="bottom"/>
          </w:tcPr>
          <w:p>
            <w:pPr>
              <w:jc w:val="right"/>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 xml:space="preserve">51,401.30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PrEx>
        <w:trPr>
          <w:trHeight w:val="454" w:hRule="atLeast"/>
        </w:trPr>
        <w:tc>
          <w:tcPr>
            <w:tcW w:w="2977" w:type="dxa"/>
            <w:tcBorders>
              <w:top w:val="single" w:color="auto" w:sz="4" w:space="0"/>
              <w:bottom w:val="single" w:color="auto" w:sz="12" w:space="0"/>
              <w:right w:val="single" w:color="auto" w:sz="4" w:space="0"/>
            </w:tcBorders>
            <w:vAlign w:val="bottom"/>
          </w:tcPr>
          <w:p>
            <w:pPr>
              <w:rPr>
                <w:color w:val="auto"/>
                <w:sz w:val="18"/>
                <w:szCs w:val="18"/>
              </w:rPr>
            </w:pPr>
            <w:r>
              <w:rPr>
                <w:color w:val="auto"/>
                <w:sz w:val="18"/>
                <w:szCs w:val="18"/>
              </w:rPr>
              <w:t>税收减免</w:t>
            </w:r>
          </w:p>
        </w:tc>
        <w:tc>
          <w:tcPr>
            <w:tcW w:w="2977" w:type="dxa"/>
            <w:tcBorders>
              <w:top w:val="single" w:color="auto" w:sz="4" w:space="0"/>
              <w:left w:val="single" w:color="auto" w:sz="4" w:space="0"/>
              <w:bottom w:val="single" w:color="auto" w:sz="12" w:space="0"/>
              <w:right w:val="single" w:color="auto" w:sz="4" w:space="0"/>
            </w:tcBorders>
            <w:vAlign w:val="bottom"/>
          </w:tcPr>
          <w:p>
            <w:pPr>
              <w:jc w:val="right"/>
              <w:rPr>
                <w:rFonts w:ascii="宋体" w:hAnsi="宋体"/>
                <w:color w:val="auto"/>
                <w:sz w:val="18"/>
                <w:szCs w:val="18"/>
              </w:rPr>
            </w:pPr>
            <w:r>
              <w:rPr>
                <w:rFonts w:hint="eastAsia" w:ascii="宋体" w:hAnsi="宋体"/>
                <w:color w:val="auto"/>
                <w:sz w:val="18"/>
                <w:szCs w:val="18"/>
              </w:rPr>
              <w:t xml:space="preserve">43,153.90 </w:t>
            </w:r>
          </w:p>
        </w:tc>
        <w:tc>
          <w:tcPr>
            <w:tcW w:w="2977" w:type="dxa"/>
            <w:tcBorders>
              <w:top w:val="single" w:color="auto" w:sz="4" w:space="0"/>
              <w:left w:val="single" w:color="auto" w:sz="4" w:space="0"/>
              <w:bottom w:val="single" w:color="auto" w:sz="12" w:space="0"/>
            </w:tcBorders>
            <w:vAlign w:val="bottom"/>
          </w:tcPr>
          <w:p>
            <w:pPr>
              <w:jc w:val="right"/>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 xml:space="preserve">85,181.87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PrEx>
        <w:trPr>
          <w:trHeight w:val="454" w:hRule="atLeast"/>
        </w:trPr>
        <w:tc>
          <w:tcPr>
            <w:tcW w:w="2977" w:type="dxa"/>
            <w:tcBorders>
              <w:top w:val="single" w:color="auto" w:sz="12" w:space="0"/>
              <w:bottom w:val="single" w:color="auto" w:sz="12" w:space="0"/>
              <w:right w:val="single" w:color="auto" w:sz="4" w:space="0"/>
            </w:tcBorders>
            <w:vAlign w:val="bottom"/>
          </w:tcPr>
          <w:p>
            <w:pPr>
              <w:jc w:val="center"/>
              <w:rPr>
                <w:b/>
                <w:color w:val="auto"/>
                <w:sz w:val="18"/>
                <w:szCs w:val="18"/>
              </w:rPr>
            </w:pPr>
            <w:r>
              <w:rPr>
                <w:b/>
                <w:color w:val="auto"/>
                <w:sz w:val="18"/>
                <w:szCs w:val="18"/>
              </w:rPr>
              <w:t>合计</w:t>
            </w:r>
          </w:p>
        </w:tc>
        <w:tc>
          <w:tcPr>
            <w:tcW w:w="2977" w:type="dxa"/>
            <w:tcBorders>
              <w:top w:val="single" w:color="auto" w:sz="12" w:space="0"/>
              <w:left w:val="single" w:color="auto" w:sz="4" w:space="0"/>
              <w:bottom w:val="single" w:color="auto" w:sz="12" w:space="0"/>
              <w:right w:val="single" w:color="auto" w:sz="4" w:space="0"/>
            </w:tcBorders>
            <w:vAlign w:val="bottom"/>
          </w:tcPr>
          <w:p>
            <w:pPr>
              <w:jc w:val="right"/>
              <w:rPr>
                <w:rFonts w:ascii="宋体" w:hAnsi="宋体"/>
                <w:b/>
                <w:bCs/>
                <w:color w:val="auto"/>
                <w:sz w:val="18"/>
                <w:szCs w:val="18"/>
              </w:rPr>
            </w:pPr>
            <w:r>
              <w:rPr>
                <w:rFonts w:ascii="宋体" w:hAnsi="宋体"/>
                <w:b/>
                <w:bCs/>
                <w:color w:val="auto"/>
                <w:sz w:val="18"/>
                <w:szCs w:val="18"/>
              </w:rPr>
              <w:t xml:space="preserve">3,406,501.28 </w:t>
            </w:r>
            <w:r>
              <w:rPr>
                <w:rFonts w:hint="eastAsia" w:ascii="宋体" w:hAnsi="宋体"/>
                <w:b/>
                <w:bCs/>
                <w:color w:val="auto"/>
                <w:sz w:val="18"/>
                <w:szCs w:val="18"/>
              </w:rPr>
              <w:t xml:space="preserve"> </w:t>
            </w:r>
          </w:p>
        </w:tc>
        <w:tc>
          <w:tcPr>
            <w:tcW w:w="2977" w:type="dxa"/>
            <w:tcBorders>
              <w:top w:val="single" w:color="auto" w:sz="12" w:space="0"/>
              <w:left w:val="single" w:color="auto" w:sz="4" w:space="0"/>
              <w:bottom w:val="single" w:color="auto" w:sz="12" w:space="0"/>
            </w:tcBorders>
            <w:vAlign w:val="bottom"/>
          </w:tcPr>
          <w:p>
            <w:pPr>
              <w:jc w:val="right"/>
              <w:rPr>
                <w:rFonts w:asciiTheme="minorEastAsia" w:hAnsiTheme="minorEastAsia" w:eastAsiaTheme="minorEastAsia"/>
                <w:b/>
                <w:bCs/>
                <w:color w:val="auto"/>
                <w:sz w:val="18"/>
                <w:szCs w:val="18"/>
              </w:rPr>
            </w:pPr>
            <w:r>
              <w:rPr>
                <w:rFonts w:asciiTheme="minorEastAsia" w:hAnsiTheme="minorEastAsia" w:eastAsiaTheme="minorEastAsia"/>
                <w:b/>
                <w:bCs/>
                <w:color w:val="auto"/>
                <w:sz w:val="18"/>
                <w:szCs w:val="18"/>
              </w:rPr>
              <w:t xml:space="preserve">3,151,472.34 </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41、投资收益</w:t>
      </w:r>
    </w:p>
    <w:tbl>
      <w:tblPr>
        <w:tblStyle w:val="9"/>
        <w:tblW w:w="5000" w:type="pct"/>
        <w:tblCaption w:val="&quot;\\lisheng\共享\1、伟隆2022年度审计\1、2022年度审计\1、附注及报告\2022年\附注计算-伟隆 - 2022.xlsx&quot; &quot;2022附注格式!_ReportTable_0081&quot;"/>
        <w:tblDescription w:val="A682:C687"/>
        <w:tblInd w:w="0" w:type="dxa"/>
        <w:tblLayout w:type="autofit"/>
        <w:tblCellMar>
          <w:top w:w="0" w:type="dxa"/>
          <w:left w:w="30" w:type="dxa"/>
          <w:bottom w:w="0" w:type="dxa"/>
          <w:right w:w="30" w:type="dxa"/>
        </w:tblCellMar>
      </w:tblPr>
      <w:tblGrid>
        <w:gridCol w:w="3419"/>
        <w:gridCol w:w="3062"/>
        <w:gridCol w:w="3216"/>
      </w:tblGrid>
      <w:tr>
        <w:tblPrEx>
          <w:tblCellMar>
            <w:top w:w="0" w:type="dxa"/>
            <w:left w:w="30" w:type="dxa"/>
            <w:bottom w:w="0" w:type="dxa"/>
            <w:right w:w="30" w:type="dxa"/>
          </w:tblCellMar>
        </w:tblPrEx>
        <w:trPr>
          <w:trHeight w:val="454" w:hRule="atLeast"/>
        </w:trPr>
        <w:tc>
          <w:tcPr>
            <w:tcW w:w="1763" w:type="pct"/>
            <w:tcBorders>
              <w:top w:val="single" w:color="auto" w:sz="12"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w:t>
            </w:r>
            <w:r>
              <w:rPr>
                <w:rFonts w:asciiTheme="minorEastAsia" w:hAnsiTheme="minorEastAsia" w:eastAsiaTheme="minorEastAsia"/>
                <w:b/>
                <w:bCs/>
                <w:color w:val="auto"/>
                <w:sz w:val="18"/>
                <w:szCs w:val="18"/>
              </w:rPr>
              <w:t xml:space="preserve">   目</w:t>
            </w:r>
          </w:p>
        </w:tc>
        <w:tc>
          <w:tcPr>
            <w:tcW w:w="1579" w:type="pct"/>
            <w:tcBorders>
              <w:top w:val="single" w:color="auto" w:sz="12" w:space="0"/>
              <w:bottom w:val="single" w:color="auto" w:sz="12" w:space="0"/>
              <w:right w:val="single" w:color="auto" w:sz="4"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本期发生额</w:t>
            </w:r>
          </w:p>
        </w:tc>
        <w:tc>
          <w:tcPr>
            <w:tcW w:w="1658" w:type="pct"/>
            <w:tcBorders>
              <w:top w:val="single" w:color="auto" w:sz="12" w:space="0"/>
              <w:left w:val="single" w:color="auto" w:sz="4"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上期发生额</w:t>
            </w:r>
          </w:p>
        </w:tc>
      </w:tr>
      <w:tr>
        <w:tblPrEx>
          <w:tblCellMar>
            <w:top w:w="0" w:type="dxa"/>
            <w:left w:w="30" w:type="dxa"/>
            <w:bottom w:w="0" w:type="dxa"/>
            <w:right w:w="30" w:type="dxa"/>
          </w:tblCellMar>
        </w:tblPrEx>
        <w:trPr>
          <w:trHeight w:val="454" w:hRule="atLeast"/>
        </w:trPr>
        <w:tc>
          <w:tcPr>
            <w:tcW w:w="1763" w:type="pct"/>
            <w:tcBorders>
              <w:top w:val="single" w:color="auto" w:sz="4" w:space="0"/>
              <w:bottom w:val="single" w:color="auto" w:sz="4" w:space="0"/>
              <w:right w:val="single" w:color="auto" w:sz="4" w:space="0"/>
            </w:tcBorders>
            <w:vAlign w:val="bottom"/>
          </w:tcPr>
          <w:p>
            <w:pPr>
              <w:rPr>
                <w:color w:val="auto"/>
                <w:sz w:val="18"/>
                <w:szCs w:val="18"/>
              </w:rPr>
            </w:pPr>
            <w:r>
              <w:rPr>
                <w:color w:val="auto"/>
                <w:sz w:val="18"/>
                <w:szCs w:val="18"/>
              </w:rPr>
              <w:t>处置交易性金融资产取得的投资收益</w:t>
            </w:r>
          </w:p>
        </w:tc>
        <w:tc>
          <w:tcPr>
            <w:tcW w:w="1579" w:type="pct"/>
            <w:tcBorders>
              <w:top w:val="single" w:color="auto" w:sz="4" w:space="0"/>
              <w:bottom w:val="single" w:color="auto" w:sz="4" w:space="0"/>
              <w:right w:val="single" w:color="auto" w:sz="4" w:space="0"/>
            </w:tcBorders>
            <w:vAlign w:val="bottom"/>
          </w:tcPr>
          <w:p>
            <w:pPr>
              <w:autoSpaceDE w:val="0"/>
              <w:autoSpaceDN w:val="0"/>
              <w:adjustRightInd w:val="0"/>
              <w:jc w:val="right"/>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 xml:space="preserve">6,088,319.00 </w:t>
            </w:r>
          </w:p>
        </w:tc>
        <w:tc>
          <w:tcPr>
            <w:tcW w:w="1658"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14,361,630.99 </w:t>
            </w:r>
          </w:p>
        </w:tc>
      </w:tr>
      <w:tr>
        <w:tblPrEx>
          <w:tblCellMar>
            <w:top w:w="0" w:type="dxa"/>
            <w:left w:w="30" w:type="dxa"/>
            <w:bottom w:w="0" w:type="dxa"/>
            <w:right w:w="30" w:type="dxa"/>
          </w:tblCellMar>
        </w:tblPrEx>
        <w:trPr>
          <w:trHeight w:val="454" w:hRule="atLeast"/>
        </w:trPr>
        <w:tc>
          <w:tcPr>
            <w:tcW w:w="1763" w:type="pct"/>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color w:val="auto"/>
                <w:sz w:val="18"/>
                <w:szCs w:val="18"/>
              </w:rPr>
              <w:t>外汇期权收益</w:t>
            </w:r>
          </w:p>
        </w:tc>
        <w:tc>
          <w:tcPr>
            <w:tcW w:w="1579" w:type="pct"/>
            <w:tcBorders>
              <w:top w:val="single" w:color="auto" w:sz="4" w:space="0"/>
              <w:bottom w:val="single" w:color="auto" w:sz="4" w:space="0"/>
              <w:right w:val="single" w:color="auto" w:sz="4" w:space="0"/>
            </w:tcBorders>
            <w:vAlign w:val="bottom"/>
          </w:tcPr>
          <w:p>
            <w:pPr>
              <w:autoSpaceDE w:val="0"/>
              <w:autoSpaceDN w:val="0"/>
              <w:adjustRightInd w:val="0"/>
              <w:jc w:val="right"/>
              <w:rPr>
                <w:rFonts w:cs="宋体" w:asciiTheme="minorEastAsia" w:hAnsiTheme="minorEastAsia" w:eastAsiaTheme="minorEastAsia"/>
                <w:color w:val="auto"/>
                <w:kern w:val="0"/>
                <w:sz w:val="18"/>
                <w:szCs w:val="18"/>
              </w:rPr>
            </w:pPr>
          </w:p>
        </w:tc>
        <w:tc>
          <w:tcPr>
            <w:tcW w:w="1658"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55,250.00 </w:t>
            </w:r>
          </w:p>
        </w:tc>
      </w:tr>
      <w:tr>
        <w:tblPrEx>
          <w:tblCellMar>
            <w:top w:w="0" w:type="dxa"/>
            <w:left w:w="30" w:type="dxa"/>
            <w:bottom w:w="0" w:type="dxa"/>
            <w:right w:w="30" w:type="dxa"/>
          </w:tblCellMar>
        </w:tblPrEx>
        <w:trPr>
          <w:trHeight w:val="454" w:hRule="atLeast"/>
        </w:trPr>
        <w:tc>
          <w:tcPr>
            <w:tcW w:w="1763" w:type="pct"/>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color w:val="auto"/>
                <w:sz w:val="18"/>
                <w:szCs w:val="18"/>
              </w:rPr>
              <w:t>远期结售汇损失</w:t>
            </w:r>
          </w:p>
        </w:tc>
        <w:tc>
          <w:tcPr>
            <w:tcW w:w="1579" w:type="pct"/>
            <w:tcBorders>
              <w:top w:val="single" w:color="auto" w:sz="4" w:space="0"/>
              <w:bottom w:val="single" w:color="auto" w:sz="4" w:space="0"/>
              <w:right w:val="single" w:color="auto" w:sz="4" w:space="0"/>
            </w:tcBorders>
            <w:vAlign w:val="bottom"/>
          </w:tcPr>
          <w:p>
            <w:pPr>
              <w:autoSpaceDE w:val="0"/>
              <w:autoSpaceDN w:val="0"/>
              <w:adjustRightInd w:val="0"/>
              <w:jc w:val="right"/>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 xml:space="preserve">-417,990.00 </w:t>
            </w:r>
          </w:p>
        </w:tc>
        <w:tc>
          <w:tcPr>
            <w:tcW w:w="1658"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p>
        </w:tc>
      </w:tr>
      <w:tr>
        <w:tblPrEx>
          <w:tblCellMar>
            <w:top w:w="0" w:type="dxa"/>
            <w:left w:w="30" w:type="dxa"/>
            <w:bottom w:w="0" w:type="dxa"/>
            <w:right w:w="30" w:type="dxa"/>
          </w:tblCellMar>
        </w:tblPrEx>
        <w:trPr>
          <w:trHeight w:val="454" w:hRule="atLeast"/>
        </w:trPr>
        <w:tc>
          <w:tcPr>
            <w:tcW w:w="1763" w:type="pct"/>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ascii="宋体" w:hAnsi="宋体" w:cs="宋体"/>
                <w:color w:val="auto"/>
                <w:sz w:val="18"/>
                <w:szCs w:val="18"/>
              </w:rPr>
              <w:t>大额存单</w:t>
            </w:r>
            <w:r>
              <w:rPr>
                <w:color w:val="auto"/>
                <w:sz w:val="18"/>
                <w:szCs w:val="18"/>
              </w:rPr>
              <w:t>在持有期间取得的收益</w:t>
            </w:r>
          </w:p>
        </w:tc>
        <w:tc>
          <w:tcPr>
            <w:tcW w:w="1579" w:type="pct"/>
            <w:tcBorders>
              <w:top w:val="single" w:color="auto" w:sz="4" w:space="0"/>
              <w:bottom w:val="single" w:color="auto" w:sz="4" w:space="0"/>
              <w:right w:val="single" w:color="auto" w:sz="4" w:space="0"/>
            </w:tcBorders>
            <w:vAlign w:val="bottom"/>
          </w:tcPr>
          <w:p>
            <w:pPr>
              <w:autoSpaceDE w:val="0"/>
              <w:autoSpaceDN w:val="0"/>
              <w:adjustRightInd w:val="0"/>
              <w:jc w:val="right"/>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 xml:space="preserve">2,278,177.57 </w:t>
            </w:r>
          </w:p>
        </w:tc>
        <w:tc>
          <w:tcPr>
            <w:tcW w:w="1658" w:type="pct"/>
            <w:tcBorders>
              <w:top w:val="single" w:color="auto" w:sz="4" w:space="0"/>
              <w:left w:val="single" w:color="auto" w:sz="4" w:space="0"/>
              <w:bottom w:val="single" w:color="auto" w:sz="4" w:space="0"/>
            </w:tcBorders>
            <w:vAlign w:val="bottom"/>
          </w:tcPr>
          <w:p>
            <w:pPr>
              <w:jc w:val="right"/>
              <w:rPr>
                <w:rFonts w:ascii="宋体" w:hAnsi="宋体" w:cs="宋体"/>
                <w:color w:val="auto"/>
                <w:kern w:val="0"/>
                <w:sz w:val="18"/>
                <w:szCs w:val="18"/>
              </w:rPr>
            </w:pPr>
            <w:r>
              <w:rPr>
                <w:rFonts w:ascii="宋体" w:hAnsi="宋体" w:cs="宋体"/>
                <w:color w:val="auto"/>
                <w:kern w:val="0"/>
                <w:sz w:val="18"/>
                <w:szCs w:val="18"/>
              </w:rPr>
              <w:t>1,498,850.00</w:t>
            </w:r>
          </w:p>
        </w:tc>
      </w:tr>
      <w:tr>
        <w:tblPrEx>
          <w:tblCellMar>
            <w:top w:w="0" w:type="dxa"/>
            <w:left w:w="30" w:type="dxa"/>
            <w:bottom w:w="0" w:type="dxa"/>
            <w:right w:w="30" w:type="dxa"/>
          </w:tblCellMar>
        </w:tblPrEx>
        <w:trPr>
          <w:trHeight w:val="454" w:hRule="atLeast"/>
        </w:trPr>
        <w:tc>
          <w:tcPr>
            <w:tcW w:w="1763" w:type="pct"/>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ascii="宋体" w:hAnsi="宋体" w:cs="宋体"/>
                <w:color w:val="auto"/>
                <w:sz w:val="18"/>
                <w:szCs w:val="18"/>
              </w:rPr>
              <w:t>处置长期股权投资产生的投资收益</w:t>
            </w:r>
          </w:p>
        </w:tc>
        <w:tc>
          <w:tcPr>
            <w:tcW w:w="1579" w:type="pct"/>
            <w:tcBorders>
              <w:top w:val="single" w:color="auto" w:sz="4" w:space="0"/>
              <w:bottom w:val="single" w:color="auto" w:sz="4" w:space="0"/>
              <w:right w:val="single" w:color="auto" w:sz="4" w:space="0"/>
            </w:tcBorders>
            <w:vAlign w:val="bottom"/>
          </w:tcPr>
          <w:p>
            <w:pPr>
              <w:autoSpaceDE w:val="0"/>
              <w:autoSpaceDN w:val="0"/>
              <w:adjustRightInd w:val="0"/>
              <w:jc w:val="right"/>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 xml:space="preserve">41,641,161.86 </w:t>
            </w:r>
          </w:p>
        </w:tc>
        <w:tc>
          <w:tcPr>
            <w:tcW w:w="1658" w:type="pct"/>
            <w:tcBorders>
              <w:top w:val="single" w:color="auto" w:sz="4" w:space="0"/>
              <w:left w:val="single" w:color="auto" w:sz="4" w:space="0"/>
              <w:bottom w:val="single" w:color="auto" w:sz="4" w:space="0"/>
            </w:tcBorders>
            <w:vAlign w:val="bottom"/>
          </w:tcPr>
          <w:p>
            <w:pPr>
              <w:jc w:val="right"/>
              <w:rPr>
                <w:rFonts w:ascii="宋体" w:hAnsi="宋体" w:cs="宋体"/>
                <w:color w:val="auto"/>
                <w:kern w:val="0"/>
                <w:sz w:val="18"/>
                <w:szCs w:val="18"/>
              </w:rPr>
            </w:pPr>
          </w:p>
        </w:tc>
      </w:tr>
      <w:tr>
        <w:tblPrEx>
          <w:tblCellMar>
            <w:top w:w="0" w:type="dxa"/>
            <w:left w:w="30" w:type="dxa"/>
            <w:bottom w:w="0" w:type="dxa"/>
            <w:right w:w="30" w:type="dxa"/>
          </w:tblCellMar>
        </w:tblPrEx>
        <w:trPr>
          <w:trHeight w:val="454" w:hRule="atLeast"/>
        </w:trPr>
        <w:tc>
          <w:tcPr>
            <w:tcW w:w="1763" w:type="pct"/>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ascii="宋体" w:hAnsi="宋体" w:cs="宋体"/>
                <w:color w:val="auto"/>
                <w:sz w:val="18"/>
                <w:szCs w:val="18"/>
              </w:rPr>
              <w:t>债务重组收益</w:t>
            </w:r>
          </w:p>
        </w:tc>
        <w:tc>
          <w:tcPr>
            <w:tcW w:w="1579" w:type="pct"/>
            <w:tcBorders>
              <w:top w:val="single" w:color="auto" w:sz="4" w:space="0"/>
              <w:bottom w:val="single" w:color="auto" w:sz="4" w:space="0"/>
              <w:right w:val="single" w:color="auto" w:sz="4" w:space="0"/>
            </w:tcBorders>
            <w:vAlign w:val="bottom"/>
          </w:tcPr>
          <w:p>
            <w:pPr>
              <w:autoSpaceDE w:val="0"/>
              <w:autoSpaceDN w:val="0"/>
              <w:adjustRightInd w:val="0"/>
              <w:jc w:val="right"/>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 xml:space="preserve">-263,993.81 </w:t>
            </w:r>
          </w:p>
        </w:tc>
        <w:tc>
          <w:tcPr>
            <w:tcW w:w="1658"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p>
        </w:tc>
      </w:tr>
      <w:tr>
        <w:tblPrEx>
          <w:tblCellMar>
            <w:top w:w="0" w:type="dxa"/>
            <w:left w:w="30" w:type="dxa"/>
            <w:bottom w:w="0" w:type="dxa"/>
            <w:right w:w="30" w:type="dxa"/>
          </w:tblCellMar>
        </w:tblPrEx>
        <w:trPr>
          <w:trHeight w:val="454" w:hRule="atLeast"/>
        </w:trPr>
        <w:tc>
          <w:tcPr>
            <w:tcW w:w="1763" w:type="pct"/>
            <w:tcBorders>
              <w:top w:val="single" w:color="auto" w:sz="12" w:space="0"/>
              <w:bottom w:val="single" w:color="auto" w:sz="12" w:space="0"/>
              <w:right w:val="single" w:color="auto" w:sz="4" w:space="0"/>
            </w:tcBorders>
            <w:vAlign w:val="bottom"/>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合计</w:t>
            </w:r>
          </w:p>
        </w:tc>
        <w:tc>
          <w:tcPr>
            <w:tcW w:w="1579" w:type="pct"/>
            <w:tcBorders>
              <w:top w:val="single" w:color="auto" w:sz="12" w:space="0"/>
              <w:bottom w:val="single" w:color="auto" w:sz="12" w:space="0"/>
              <w:right w:val="single" w:color="auto" w:sz="4" w:space="0"/>
            </w:tcBorders>
            <w:vAlign w:val="bottom"/>
          </w:tcPr>
          <w:p>
            <w:pPr>
              <w:autoSpaceDE w:val="0"/>
              <w:autoSpaceDN w:val="0"/>
              <w:adjustRightInd w:val="0"/>
              <w:jc w:val="right"/>
              <w:rPr>
                <w:rFonts w:cs="宋体" w:asciiTheme="minorEastAsia" w:hAnsiTheme="minorEastAsia" w:eastAsiaTheme="minorEastAsia"/>
                <w:b/>
                <w:bCs/>
                <w:color w:val="auto"/>
                <w:kern w:val="0"/>
                <w:sz w:val="18"/>
                <w:szCs w:val="18"/>
              </w:rPr>
            </w:pPr>
            <w:r>
              <w:rPr>
                <w:rFonts w:hint="eastAsia" w:asciiTheme="minorEastAsia" w:hAnsiTheme="minorEastAsia" w:eastAsiaTheme="minorEastAsia"/>
                <w:b/>
                <w:bCs/>
                <w:color w:val="auto"/>
                <w:sz w:val="18"/>
                <w:szCs w:val="18"/>
              </w:rPr>
              <w:t xml:space="preserve">49,325,674.62 </w:t>
            </w:r>
          </w:p>
        </w:tc>
        <w:tc>
          <w:tcPr>
            <w:tcW w:w="1658" w:type="pct"/>
            <w:tcBorders>
              <w:top w:val="single" w:color="auto" w:sz="12" w:space="0"/>
              <w:left w:val="single" w:color="auto" w:sz="4" w:space="0"/>
              <w:bottom w:val="single" w:color="auto" w:sz="12" w:space="0"/>
            </w:tcBorders>
            <w:vAlign w:val="bottom"/>
          </w:tcPr>
          <w:p>
            <w:pPr>
              <w:jc w:val="right"/>
              <w:rPr>
                <w:rFonts w:cs="宋体" w:asciiTheme="minorEastAsia" w:hAnsiTheme="minorEastAsia" w:eastAsiaTheme="minorEastAsia"/>
                <w:b/>
                <w:color w:val="auto"/>
                <w:sz w:val="18"/>
                <w:szCs w:val="18"/>
              </w:rPr>
            </w:pPr>
            <w:r>
              <w:rPr>
                <w:rFonts w:ascii="宋体" w:hAnsi="宋体" w:cs="宋体"/>
                <w:b/>
                <w:bCs/>
                <w:color w:val="auto"/>
                <w:kern w:val="0"/>
                <w:sz w:val="18"/>
                <w:szCs w:val="18"/>
              </w:rPr>
              <w:t xml:space="preserve">15,915,730.99 </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42、</w:t>
      </w:r>
      <w:r>
        <w:rPr>
          <w:rFonts w:ascii="宋体" w:hAnsi="宋体" w:eastAsia="宋体"/>
          <w:b/>
          <w:color w:val="auto"/>
          <w:sz w:val="24"/>
          <w:szCs w:val="24"/>
        </w:rPr>
        <w:t>公允价值变动收益</w:t>
      </w:r>
    </w:p>
    <w:tbl>
      <w:tblPr>
        <w:tblStyle w:val="9"/>
        <w:tblW w:w="5000" w:type="pct"/>
        <w:tblCaption w:val="&quot;\\lisheng\共享\1、伟隆2022年度审计\1、2022年度审计\1、附注及报告\2022年\附注计算-伟隆 - 2022.xlsx&quot; &quot;2022附注格式!_ReportTable_0082&quot;"/>
        <w:tblDescription w:val="A689:C692"/>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3229"/>
        <w:gridCol w:w="3234"/>
        <w:gridCol w:w="32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666" w:type="pct"/>
            <w:tcBorders>
              <w:top w:val="single" w:color="auto" w:sz="12" w:space="0"/>
              <w:bottom w:val="single" w:color="auto" w:sz="12"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产生公允价值变动收益的来源</w:t>
            </w:r>
          </w:p>
        </w:tc>
        <w:tc>
          <w:tcPr>
            <w:tcW w:w="1668" w:type="pct"/>
            <w:tcBorders>
              <w:top w:val="single" w:color="auto" w:sz="12" w:space="0"/>
              <w:bottom w:val="single" w:color="auto" w:sz="12"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本期发生额</w:t>
            </w:r>
          </w:p>
        </w:tc>
        <w:tc>
          <w:tcPr>
            <w:tcW w:w="1666" w:type="pct"/>
            <w:tcBorders>
              <w:top w:val="single" w:color="auto" w:sz="12" w:space="0"/>
              <w:bottom w:val="single" w:color="auto" w:sz="12"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上期发生额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666" w:type="pct"/>
            <w:tcBorders>
              <w:top w:val="single" w:color="auto" w:sz="12" w:space="0"/>
              <w:bottom w:val="single" w:color="auto" w:sz="4" w:space="0"/>
            </w:tcBorders>
            <w:vAlign w:val="bottom"/>
          </w:tcPr>
          <w:p>
            <w:pP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交易性金融资产</w:t>
            </w:r>
          </w:p>
        </w:tc>
        <w:tc>
          <w:tcPr>
            <w:tcW w:w="1668" w:type="pct"/>
            <w:tcBorders>
              <w:top w:val="single" w:color="auto" w:sz="12" w:space="0"/>
              <w:bottom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-8,382,050.30</w:t>
            </w:r>
          </w:p>
        </w:tc>
        <w:tc>
          <w:tcPr>
            <w:tcW w:w="1666" w:type="pct"/>
            <w:tcBorders>
              <w:top w:val="single" w:color="auto" w:sz="12" w:space="0"/>
              <w:bottom w:val="single" w:color="auto" w:sz="4" w:space="0"/>
            </w:tcBorders>
            <w:vAlign w:val="bottom"/>
          </w:tcPr>
          <w:p>
            <w:pPr>
              <w:jc w:val="right"/>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 xml:space="preserve">-3,398,253.30 </w:t>
            </w:r>
            <w:r>
              <w:rPr>
                <w:rFonts w:hint="eastAsia" w:asciiTheme="minorEastAsia" w:hAnsiTheme="minorEastAsia" w:eastAsiaTheme="minorEastAsia"/>
                <w:color w:val="auto"/>
                <w:sz w:val="18"/>
                <w:szCs w:val="18"/>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666" w:type="pct"/>
            <w:tcBorders>
              <w:top w:val="single" w:color="auto" w:sz="4" w:space="0"/>
              <w:bottom w:val="single" w:color="auto" w:sz="4" w:space="0"/>
            </w:tcBorders>
            <w:vAlign w:val="bottom"/>
          </w:tcPr>
          <w:p>
            <w:pP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其中：金融理财产品</w:t>
            </w:r>
          </w:p>
        </w:tc>
        <w:tc>
          <w:tcPr>
            <w:tcW w:w="1668"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-8,382,050.30</w:t>
            </w:r>
          </w:p>
        </w:tc>
        <w:tc>
          <w:tcPr>
            <w:tcW w:w="1666" w:type="pct"/>
            <w:tcBorders>
              <w:top w:val="single" w:color="auto" w:sz="4" w:space="0"/>
              <w:bottom w:val="single" w:color="auto" w:sz="4" w:space="0"/>
            </w:tcBorders>
            <w:vAlign w:val="bottom"/>
          </w:tcPr>
          <w:p>
            <w:pPr>
              <w:jc w:val="right"/>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-3,398,253.30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666" w:type="pct"/>
            <w:tcBorders>
              <w:top w:val="single" w:color="auto" w:sz="2" w:space="0"/>
              <w:bottom w:val="single" w:color="auto" w:sz="4" w:space="0"/>
            </w:tcBorders>
            <w:vAlign w:val="bottom"/>
          </w:tcPr>
          <w:p>
            <w:pP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交易性金融负债</w:t>
            </w:r>
          </w:p>
        </w:tc>
        <w:tc>
          <w:tcPr>
            <w:tcW w:w="1668" w:type="pct"/>
            <w:tcBorders>
              <w:top w:val="single" w:color="auto" w:sz="2" w:space="0"/>
              <w:bottom w:val="single" w:color="auto" w:sz="4" w:space="0"/>
            </w:tcBorders>
            <w:vAlign w:val="bottom"/>
          </w:tcPr>
          <w:p>
            <w:pPr>
              <w:jc w:val="right"/>
              <w:rPr>
                <w:rFonts w:cs="宋体" w:asciiTheme="minorEastAsia" w:hAnsiTheme="minorEastAsia" w:eastAsiaTheme="minorEastAsia"/>
                <w:color w:val="auto"/>
                <w:sz w:val="18"/>
                <w:szCs w:val="18"/>
              </w:rPr>
            </w:pPr>
          </w:p>
        </w:tc>
        <w:tc>
          <w:tcPr>
            <w:tcW w:w="1666" w:type="pct"/>
            <w:tcBorders>
              <w:top w:val="single" w:color="auto" w:sz="2" w:space="0"/>
              <w:bottom w:val="single" w:color="auto" w:sz="4" w:space="0"/>
            </w:tcBorders>
            <w:vAlign w:val="bottom"/>
          </w:tcPr>
          <w:p>
            <w:pPr>
              <w:jc w:val="right"/>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31,600.00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666" w:type="pct"/>
            <w:tcBorders>
              <w:top w:val="single" w:color="auto" w:sz="2" w:space="0"/>
              <w:bottom w:val="single" w:color="auto" w:sz="4" w:space="0"/>
            </w:tcBorders>
            <w:vAlign w:val="bottom"/>
          </w:tcPr>
          <w:p>
            <w:pP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其中：外汇金融衍生产品</w:t>
            </w:r>
          </w:p>
        </w:tc>
        <w:tc>
          <w:tcPr>
            <w:tcW w:w="1668" w:type="pct"/>
            <w:tcBorders>
              <w:top w:val="single" w:color="auto" w:sz="2" w:space="0"/>
              <w:bottom w:val="single" w:color="auto" w:sz="4" w:space="0"/>
            </w:tcBorders>
            <w:vAlign w:val="bottom"/>
          </w:tcPr>
          <w:p>
            <w:pPr>
              <w:jc w:val="right"/>
              <w:rPr>
                <w:rFonts w:cs="宋体" w:asciiTheme="minorEastAsia" w:hAnsiTheme="minorEastAsia" w:eastAsiaTheme="minorEastAsia"/>
                <w:color w:val="auto"/>
                <w:sz w:val="18"/>
                <w:szCs w:val="18"/>
              </w:rPr>
            </w:pPr>
          </w:p>
        </w:tc>
        <w:tc>
          <w:tcPr>
            <w:tcW w:w="1666" w:type="pct"/>
            <w:tcBorders>
              <w:top w:val="single" w:color="auto" w:sz="2" w:space="0"/>
              <w:bottom w:val="single" w:color="auto" w:sz="4" w:space="0"/>
            </w:tcBorders>
            <w:vAlign w:val="bottom"/>
          </w:tcPr>
          <w:p>
            <w:pPr>
              <w:jc w:val="right"/>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31,600.00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666" w:type="pct"/>
            <w:tcBorders>
              <w:top w:val="single" w:color="auto" w:sz="12" w:space="0"/>
              <w:bottom w:val="single" w:color="auto" w:sz="12" w:space="0"/>
            </w:tcBorders>
            <w:vAlign w:val="bottom"/>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合计</w:t>
            </w:r>
          </w:p>
        </w:tc>
        <w:tc>
          <w:tcPr>
            <w:tcW w:w="1668" w:type="pct"/>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-8,382,050.30</w:t>
            </w:r>
          </w:p>
        </w:tc>
        <w:tc>
          <w:tcPr>
            <w:tcW w:w="1666" w:type="pct"/>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asciiTheme="minorEastAsia" w:hAnsiTheme="minorEastAsia" w:eastAsiaTheme="minorEastAsia"/>
                <w:b/>
                <w:bCs/>
                <w:color w:val="auto"/>
                <w:sz w:val="18"/>
                <w:szCs w:val="18"/>
              </w:rPr>
              <w:t xml:space="preserve">-3,366,653.30 </w:t>
            </w:r>
            <w:r>
              <w:rPr>
                <w:rFonts w:hint="eastAsia" w:asciiTheme="minorEastAsia" w:hAnsiTheme="minorEastAsia" w:eastAsiaTheme="minorEastAsia"/>
                <w:b/>
                <w:bCs/>
                <w:color w:val="auto"/>
                <w:sz w:val="18"/>
                <w:szCs w:val="18"/>
              </w:rPr>
              <w:t xml:space="preserve"> </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43</w:t>
      </w:r>
      <w:r>
        <w:rPr>
          <w:rFonts w:ascii="宋体" w:hAnsi="宋体" w:eastAsia="宋体"/>
          <w:b/>
          <w:color w:val="auto"/>
          <w:sz w:val="24"/>
          <w:szCs w:val="24"/>
        </w:rPr>
        <w:t>、信用减值损失</w:t>
      </w:r>
    </w:p>
    <w:tbl>
      <w:tblPr>
        <w:tblStyle w:val="9"/>
        <w:tblW w:w="5000" w:type="pct"/>
        <w:tblCaption w:val="&quot;\\lisheng\共享\1、伟隆2022年度审计\1、2022年度审计\1、附注及报告\2022年\附注计算-伟隆 - 2022.xlsx&quot; &quot;2022附注格式!_ReportTable_0083&quot;"/>
        <w:tblDescription w:val="A694:C696"/>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3229"/>
        <w:gridCol w:w="3232"/>
        <w:gridCol w:w="32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666" w:type="pct"/>
            <w:tcBorders>
              <w:top w:val="single" w:color="auto" w:sz="12" w:space="0"/>
              <w:bottom w:val="single" w:color="auto" w:sz="12" w:space="0"/>
            </w:tcBorders>
            <w:vAlign w:val="center"/>
          </w:tcPr>
          <w:p>
            <w:pPr>
              <w:jc w:val="center"/>
              <w:rPr>
                <w:b/>
                <w:color w:val="auto"/>
                <w:sz w:val="18"/>
                <w:szCs w:val="18"/>
              </w:rPr>
            </w:pPr>
            <w:r>
              <w:rPr>
                <w:rFonts w:hint="eastAsia"/>
                <w:b/>
                <w:color w:val="auto"/>
                <w:sz w:val="18"/>
                <w:szCs w:val="18"/>
              </w:rPr>
              <w:t>项  目</w:t>
            </w:r>
          </w:p>
        </w:tc>
        <w:tc>
          <w:tcPr>
            <w:tcW w:w="1667" w:type="pct"/>
            <w:tcBorders>
              <w:top w:val="single" w:color="auto" w:sz="12" w:space="0"/>
              <w:bottom w:val="single" w:color="auto" w:sz="12" w:space="0"/>
            </w:tcBorders>
            <w:vAlign w:val="center"/>
          </w:tcPr>
          <w:p>
            <w:pPr>
              <w:jc w:val="center"/>
              <w:rPr>
                <w:b/>
                <w:color w:val="auto"/>
                <w:sz w:val="18"/>
                <w:szCs w:val="18"/>
              </w:rPr>
            </w:pPr>
            <w:r>
              <w:rPr>
                <w:rFonts w:hint="eastAsia"/>
                <w:b/>
                <w:color w:val="auto"/>
                <w:sz w:val="18"/>
                <w:szCs w:val="18"/>
              </w:rPr>
              <w:t>本期发生额</w:t>
            </w:r>
          </w:p>
        </w:tc>
        <w:tc>
          <w:tcPr>
            <w:tcW w:w="1667" w:type="pct"/>
            <w:tcBorders>
              <w:top w:val="single" w:color="auto" w:sz="12" w:space="0"/>
              <w:bottom w:val="single" w:color="auto" w:sz="12" w:space="0"/>
            </w:tcBorders>
            <w:vAlign w:val="center"/>
          </w:tcPr>
          <w:p>
            <w:pPr>
              <w:jc w:val="center"/>
              <w:rPr>
                <w:b/>
                <w:color w:val="auto"/>
                <w:sz w:val="18"/>
                <w:szCs w:val="18"/>
              </w:rPr>
            </w:pPr>
            <w:r>
              <w:rPr>
                <w:rFonts w:hint="eastAsia"/>
                <w:b/>
                <w:color w:val="auto"/>
                <w:sz w:val="18"/>
                <w:szCs w:val="18"/>
              </w:rPr>
              <w:t>上期发生额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666" w:type="pct"/>
            <w:tcBorders>
              <w:top w:val="single" w:color="auto" w:sz="12" w:space="0"/>
              <w:bottom w:val="single" w:color="auto" w:sz="4" w:space="0"/>
            </w:tcBorders>
            <w:vAlign w:val="bottom"/>
          </w:tcPr>
          <w:p>
            <w:pPr>
              <w:rPr>
                <w:color w:val="auto"/>
                <w:sz w:val="18"/>
                <w:szCs w:val="18"/>
              </w:rPr>
            </w:pPr>
            <w:r>
              <w:rPr>
                <w:rFonts w:hint="eastAsia"/>
                <w:color w:val="auto"/>
                <w:sz w:val="18"/>
                <w:szCs w:val="18"/>
              </w:rPr>
              <w:t>应收账款坏账损失</w:t>
            </w:r>
          </w:p>
        </w:tc>
        <w:tc>
          <w:tcPr>
            <w:tcW w:w="1667" w:type="pct"/>
            <w:tcBorders>
              <w:top w:val="single" w:color="auto" w:sz="12"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rPr>
              <w:t xml:space="preserve">174,345.46 </w:t>
            </w:r>
          </w:p>
        </w:tc>
        <w:tc>
          <w:tcPr>
            <w:tcW w:w="1667" w:type="pct"/>
            <w:tcBorders>
              <w:top w:val="single" w:color="auto" w:sz="12"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-2,277,097.49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1666" w:type="pct"/>
            <w:tcBorders>
              <w:top w:val="single" w:color="auto" w:sz="4" w:space="0"/>
            </w:tcBorders>
            <w:vAlign w:val="bottom"/>
          </w:tcPr>
          <w:p>
            <w:pPr>
              <w:rPr>
                <w:color w:val="auto"/>
                <w:sz w:val="18"/>
                <w:szCs w:val="18"/>
              </w:rPr>
            </w:pPr>
            <w:r>
              <w:rPr>
                <w:rFonts w:hint="eastAsia"/>
                <w:color w:val="auto"/>
                <w:sz w:val="18"/>
                <w:szCs w:val="18"/>
              </w:rPr>
              <w:t>其他应收款坏账损失</w:t>
            </w:r>
          </w:p>
        </w:tc>
        <w:tc>
          <w:tcPr>
            <w:tcW w:w="1667" w:type="pct"/>
            <w:tcBorders>
              <w:top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rPr>
              <w:t xml:space="preserve">-1,369,923.57 </w:t>
            </w:r>
          </w:p>
        </w:tc>
        <w:tc>
          <w:tcPr>
            <w:tcW w:w="1667" w:type="pct"/>
            <w:tcBorders>
              <w:top w:val="single" w:color="auto" w:sz="4" w:space="0"/>
            </w:tcBorders>
            <w:vAlign w:val="bottom"/>
          </w:tcPr>
          <w:p>
            <w:pPr>
              <w:jc w:val="righ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-141,046.39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1666" w:type="pct"/>
            <w:tcBorders>
              <w:top w:val="single" w:color="auto" w:sz="4" w:space="0"/>
            </w:tcBorders>
            <w:vAlign w:val="bottom"/>
          </w:tcPr>
          <w:p>
            <w:pPr>
              <w:rPr>
                <w:color w:val="auto"/>
                <w:sz w:val="18"/>
                <w:szCs w:val="18"/>
              </w:rPr>
            </w:pPr>
            <w:r>
              <w:rPr>
                <w:rFonts w:hint="eastAsia"/>
                <w:color w:val="auto"/>
                <w:sz w:val="18"/>
                <w:szCs w:val="18"/>
              </w:rPr>
              <w:t>应收票据坏账损失</w:t>
            </w:r>
          </w:p>
        </w:tc>
        <w:tc>
          <w:tcPr>
            <w:tcW w:w="1667" w:type="pct"/>
            <w:tcBorders>
              <w:top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rPr>
              <w:t xml:space="preserve">-11,835.00 </w:t>
            </w:r>
          </w:p>
        </w:tc>
        <w:tc>
          <w:tcPr>
            <w:tcW w:w="1667" w:type="pct"/>
            <w:tcBorders>
              <w:top w:val="single" w:color="auto" w:sz="4" w:space="0"/>
            </w:tcBorders>
            <w:vAlign w:val="bottom"/>
          </w:tcPr>
          <w:p>
            <w:pPr>
              <w:jc w:val="right"/>
              <w:rPr>
                <w:rFonts w:asciiTheme="minorEastAsia" w:hAnsiTheme="minorEastAsia" w:eastAsiaTheme="minorEastAsia"/>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666" w:type="pct"/>
            <w:tcBorders>
              <w:top w:val="single" w:color="auto" w:sz="12" w:space="0"/>
              <w:bottom w:val="single" w:color="auto" w:sz="12" w:space="0"/>
            </w:tcBorders>
            <w:vAlign w:val="bottom"/>
          </w:tcPr>
          <w:p>
            <w:pPr>
              <w:jc w:val="center"/>
              <w:rPr>
                <w:b/>
                <w:color w:val="auto"/>
                <w:sz w:val="18"/>
                <w:szCs w:val="18"/>
              </w:rPr>
            </w:pPr>
            <w:r>
              <w:rPr>
                <w:rFonts w:hint="eastAsia"/>
                <w:b/>
                <w:color w:val="auto"/>
                <w:sz w:val="18"/>
                <w:szCs w:val="18"/>
              </w:rPr>
              <w:t>合计</w:t>
            </w:r>
          </w:p>
        </w:tc>
        <w:tc>
          <w:tcPr>
            <w:tcW w:w="1667" w:type="pct"/>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color w:val="auto"/>
                <w:sz w:val="18"/>
              </w:rPr>
              <w:t xml:space="preserve">-1,207,413.11 </w:t>
            </w:r>
          </w:p>
        </w:tc>
        <w:tc>
          <w:tcPr>
            <w:tcW w:w="1667" w:type="pct"/>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-2,418,143.88 </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44、资产减值损失</w:t>
      </w:r>
    </w:p>
    <w:tbl>
      <w:tblPr>
        <w:tblStyle w:val="9"/>
        <w:tblW w:w="5000" w:type="pct"/>
        <w:tblCaption w:val="&quot;\\lisheng\共享\1、伟隆2022年度审计\1、2022年度审计\1、附注及报告\2022年\附注计算-伟隆 - 2022.xlsx&quot; &quot;2022附注格式!_ReportTable_0084&quot;"/>
        <w:tblDescription w:val="A698:C700"/>
        <w:tblInd w:w="0" w:type="dxa"/>
        <w:tblLayout w:type="autofit"/>
        <w:tblCellMar>
          <w:top w:w="0" w:type="dxa"/>
          <w:left w:w="30" w:type="dxa"/>
          <w:bottom w:w="0" w:type="dxa"/>
          <w:right w:w="30" w:type="dxa"/>
        </w:tblCellMar>
      </w:tblPr>
      <w:tblGrid>
        <w:gridCol w:w="3257"/>
        <w:gridCol w:w="3220"/>
        <w:gridCol w:w="3220"/>
      </w:tblGrid>
      <w:tr>
        <w:tblPrEx>
          <w:tblCellMar>
            <w:top w:w="0" w:type="dxa"/>
            <w:left w:w="30" w:type="dxa"/>
            <w:bottom w:w="0" w:type="dxa"/>
            <w:right w:w="30" w:type="dxa"/>
          </w:tblCellMar>
        </w:tblPrEx>
        <w:trPr>
          <w:trHeight w:val="454" w:hRule="atLeast"/>
        </w:trPr>
        <w:tc>
          <w:tcPr>
            <w:tcW w:w="1679" w:type="pct"/>
            <w:tcBorders>
              <w:top w:val="single" w:color="auto" w:sz="12"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w:t>
            </w:r>
            <w:r>
              <w:rPr>
                <w:rFonts w:asciiTheme="minorEastAsia" w:hAnsiTheme="minorEastAsia" w:eastAsiaTheme="minorEastAsia"/>
                <w:b/>
                <w:bCs/>
                <w:color w:val="auto"/>
                <w:sz w:val="18"/>
                <w:szCs w:val="18"/>
              </w:rPr>
              <w:t xml:space="preserve">   目</w:t>
            </w:r>
          </w:p>
        </w:tc>
        <w:tc>
          <w:tcPr>
            <w:tcW w:w="1660" w:type="pct"/>
            <w:tcBorders>
              <w:top w:val="single" w:color="auto" w:sz="12" w:space="0"/>
              <w:bottom w:val="single" w:color="auto" w:sz="12" w:space="0"/>
              <w:right w:val="single" w:color="auto" w:sz="4"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本期发生额</w:t>
            </w:r>
          </w:p>
        </w:tc>
        <w:tc>
          <w:tcPr>
            <w:tcW w:w="1660" w:type="pct"/>
            <w:tcBorders>
              <w:top w:val="single" w:color="auto" w:sz="12"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上期发生额</w:t>
            </w:r>
          </w:p>
        </w:tc>
      </w:tr>
      <w:tr>
        <w:tblPrEx>
          <w:tblCellMar>
            <w:top w:w="0" w:type="dxa"/>
            <w:left w:w="30" w:type="dxa"/>
            <w:bottom w:w="0" w:type="dxa"/>
            <w:right w:w="30" w:type="dxa"/>
          </w:tblCellMar>
        </w:tblPrEx>
        <w:trPr>
          <w:trHeight w:val="454" w:hRule="atLeast"/>
        </w:trPr>
        <w:tc>
          <w:tcPr>
            <w:tcW w:w="1679"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存货跌价损失</w:t>
            </w:r>
          </w:p>
        </w:tc>
        <w:tc>
          <w:tcPr>
            <w:tcW w:w="1660"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-2,542,351.41</w:t>
            </w:r>
          </w:p>
        </w:tc>
        <w:tc>
          <w:tcPr>
            <w:tcW w:w="1660"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-2,339,868.91</w:t>
            </w:r>
          </w:p>
        </w:tc>
      </w:tr>
      <w:tr>
        <w:tblPrEx>
          <w:tblCellMar>
            <w:top w:w="0" w:type="dxa"/>
            <w:left w:w="30" w:type="dxa"/>
            <w:bottom w:w="0" w:type="dxa"/>
            <w:right w:w="30" w:type="dxa"/>
          </w:tblCellMar>
        </w:tblPrEx>
        <w:trPr>
          <w:trHeight w:val="454" w:hRule="atLeast"/>
        </w:trPr>
        <w:tc>
          <w:tcPr>
            <w:tcW w:w="1679" w:type="pct"/>
            <w:tcBorders>
              <w:top w:val="single" w:color="auto" w:sz="12" w:space="0"/>
              <w:bottom w:val="single" w:color="auto" w:sz="12" w:space="0"/>
              <w:right w:val="single" w:color="auto" w:sz="4" w:space="0"/>
            </w:tcBorders>
            <w:vAlign w:val="bottom"/>
          </w:tcPr>
          <w:p>
            <w:pPr>
              <w:jc w:val="center"/>
              <w:rPr>
                <w:rFonts w:ascii="宋体" w:hAnsi="宋体" w:cs="宋体"/>
                <w:b/>
                <w:bCs/>
                <w:color w:val="auto"/>
                <w:sz w:val="18"/>
                <w:szCs w:val="18"/>
              </w:rPr>
            </w:pPr>
            <w:r>
              <w:rPr>
                <w:rFonts w:hint="eastAsia"/>
                <w:b/>
                <w:bCs/>
                <w:color w:val="auto"/>
                <w:sz w:val="18"/>
                <w:szCs w:val="18"/>
              </w:rPr>
              <w:t>合计</w:t>
            </w:r>
          </w:p>
        </w:tc>
        <w:tc>
          <w:tcPr>
            <w:tcW w:w="1660" w:type="pct"/>
            <w:tcBorders>
              <w:top w:val="single" w:color="auto" w:sz="12"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-2,542,351.41</w:t>
            </w:r>
          </w:p>
        </w:tc>
        <w:tc>
          <w:tcPr>
            <w:tcW w:w="1660" w:type="pct"/>
            <w:tcBorders>
              <w:top w:val="single" w:color="auto" w:sz="12" w:space="0"/>
              <w:bottom w:val="single" w:color="auto" w:sz="12" w:space="0"/>
            </w:tcBorders>
            <w:vAlign w:val="bottom"/>
          </w:tcPr>
          <w:p>
            <w:pPr>
              <w:jc w:val="right"/>
              <w:rPr>
                <w:rFonts w:cs="宋体" w:asciiTheme="majorEastAsia" w:hAnsiTheme="majorEastAsia" w:eastAsiaTheme="majorEastAsia"/>
                <w:b/>
                <w:bCs/>
                <w:color w:val="auto"/>
                <w:sz w:val="18"/>
                <w:szCs w:val="18"/>
              </w:rPr>
            </w:pPr>
            <w:r>
              <w:rPr>
                <w:rFonts w:hint="eastAsia" w:asciiTheme="minorEastAsia" w:hAnsiTheme="minorEastAsia" w:eastAsiaTheme="minorEastAsia"/>
                <w:b/>
                <w:bCs/>
                <w:color w:val="auto"/>
                <w:sz w:val="18"/>
                <w:szCs w:val="18"/>
              </w:rPr>
              <w:t>-2,339,868.91</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45、资产处置收益</w:t>
      </w:r>
    </w:p>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）明细项目：</w:t>
      </w:r>
    </w:p>
    <w:tbl>
      <w:tblPr>
        <w:tblStyle w:val="9"/>
        <w:tblW w:w="8931" w:type="dxa"/>
        <w:tblCaption w:val="&quot;\\lisheng\共享\1、伟隆2022年度审计\1、2022年度审计\1、附注及报告\2022年\附注计算-伟隆 - 2022.xlsx&quot; &quot;2022附注格式!_ReportTable_0085&quot;"/>
        <w:tblDescription w:val="A703:C705"/>
        <w:tblInd w:w="30" w:type="dxa"/>
        <w:tblLayout w:type="fixed"/>
        <w:tblCellMar>
          <w:top w:w="0" w:type="dxa"/>
          <w:left w:w="30" w:type="dxa"/>
          <w:bottom w:w="0" w:type="dxa"/>
          <w:right w:w="30" w:type="dxa"/>
        </w:tblCellMar>
      </w:tblPr>
      <w:tblGrid>
        <w:gridCol w:w="2977"/>
        <w:gridCol w:w="2977"/>
        <w:gridCol w:w="2977"/>
      </w:tblGrid>
      <w:tr>
        <w:tblPrEx>
          <w:tblCellMar>
            <w:top w:w="0" w:type="dxa"/>
            <w:left w:w="30" w:type="dxa"/>
            <w:bottom w:w="0" w:type="dxa"/>
            <w:right w:w="30" w:type="dxa"/>
          </w:tblCellMar>
        </w:tblPrEx>
        <w:trPr>
          <w:trHeight w:val="454" w:hRule="atLeast"/>
        </w:trPr>
        <w:tc>
          <w:tcPr>
            <w:tcW w:w="2977" w:type="dxa"/>
            <w:tcBorders>
              <w:top w:val="single" w:color="auto" w:sz="12" w:space="0"/>
              <w:bottom w:val="single" w:color="auto" w:sz="12" w:space="0"/>
              <w:right w:val="single" w:color="auto" w:sz="4" w:space="0"/>
            </w:tcBorders>
            <w:vAlign w:val="center"/>
          </w:tcPr>
          <w:p>
            <w:pPr>
              <w:pStyle w:val="14"/>
              <w:jc w:val="center"/>
              <w:rPr>
                <w:rFonts w:ascii="宋体" w:hAnsi="宋体" w:eastAsia="宋体"/>
                <w:b/>
                <w:color w:val="auto"/>
                <w:sz w:val="18"/>
                <w:szCs w:val="18"/>
              </w:rPr>
            </w:pPr>
            <w:r>
              <w:rPr>
                <w:rFonts w:hint="eastAsia" w:ascii="宋体" w:hAnsi="宋体" w:eastAsia="宋体"/>
                <w:b/>
                <w:color w:val="auto"/>
                <w:sz w:val="18"/>
                <w:szCs w:val="18"/>
              </w:rPr>
              <w:t>资产处置收益来源</w:t>
            </w:r>
          </w:p>
        </w:tc>
        <w:tc>
          <w:tcPr>
            <w:tcW w:w="2977" w:type="dxa"/>
            <w:tcBorders>
              <w:top w:val="single" w:color="auto" w:sz="12" w:space="0"/>
              <w:bottom w:val="single" w:color="auto" w:sz="12" w:space="0"/>
              <w:right w:val="single" w:color="auto" w:sz="4" w:space="0"/>
            </w:tcBorders>
            <w:vAlign w:val="center"/>
          </w:tcPr>
          <w:p>
            <w:pPr>
              <w:pStyle w:val="14"/>
              <w:jc w:val="center"/>
              <w:rPr>
                <w:rFonts w:ascii="宋体" w:hAnsi="宋体" w:eastAsia="宋体"/>
                <w:b/>
                <w:color w:val="auto"/>
                <w:sz w:val="18"/>
                <w:szCs w:val="18"/>
              </w:rPr>
            </w:pPr>
            <w:r>
              <w:rPr>
                <w:rFonts w:hint="eastAsia" w:ascii="宋体" w:hAnsi="宋体" w:eastAsia="宋体"/>
                <w:b/>
                <w:color w:val="auto"/>
                <w:sz w:val="18"/>
                <w:szCs w:val="18"/>
              </w:rPr>
              <w:t>本期发生额</w:t>
            </w:r>
          </w:p>
        </w:tc>
        <w:tc>
          <w:tcPr>
            <w:tcW w:w="2977" w:type="dxa"/>
            <w:tcBorders>
              <w:top w:val="single" w:color="auto" w:sz="12" w:space="0"/>
              <w:bottom w:val="single" w:color="auto" w:sz="12" w:space="0"/>
            </w:tcBorders>
            <w:vAlign w:val="center"/>
          </w:tcPr>
          <w:p>
            <w:pPr>
              <w:pStyle w:val="14"/>
              <w:jc w:val="center"/>
              <w:rPr>
                <w:rFonts w:ascii="宋体" w:hAnsi="宋体" w:eastAsia="宋体"/>
                <w:b/>
                <w:color w:val="auto"/>
                <w:sz w:val="18"/>
                <w:szCs w:val="18"/>
              </w:rPr>
            </w:pPr>
            <w:r>
              <w:rPr>
                <w:rFonts w:hint="eastAsia" w:ascii="宋体" w:hAnsi="宋体" w:eastAsia="宋体"/>
                <w:b/>
                <w:color w:val="auto"/>
                <w:sz w:val="18"/>
                <w:szCs w:val="18"/>
              </w:rPr>
              <w:t>上期发生额</w:t>
            </w:r>
          </w:p>
        </w:tc>
      </w:tr>
      <w:tr>
        <w:tblPrEx>
          <w:tblCellMar>
            <w:top w:w="0" w:type="dxa"/>
            <w:left w:w="30" w:type="dxa"/>
            <w:bottom w:w="0" w:type="dxa"/>
            <w:right w:w="30" w:type="dxa"/>
          </w:tblCellMar>
        </w:tblPrEx>
        <w:trPr>
          <w:trHeight w:val="454" w:hRule="atLeast"/>
        </w:trPr>
        <w:tc>
          <w:tcPr>
            <w:tcW w:w="2977" w:type="dxa"/>
            <w:tcBorders>
              <w:top w:val="single" w:color="auto" w:sz="12" w:space="0"/>
              <w:bottom w:val="single" w:color="auto" w:sz="4" w:space="0"/>
              <w:right w:val="single" w:color="auto" w:sz="4" w:space="0"/>
            </w:tcBorders>
            <w:vAlign w:val="bottom"/>
          </w:tcPr>
          <w:p>
            <w:pPr>
              <w:rPr>
                <w:rFonts w:ascii="宋体" w:hAnsi="宋体"/>
                <w:snapToGrid w:val="0"/>
                <w:color w:val="auto"/>
                <w:kern w:val="0"/>
                <w:sz w:val="18"/>
                <w:szCs w:val="18"/>
              </w:rPr>
            </w:pPr>
            <w:r>
              <w:rPr>
                <w:rFonts w:hint="eastAsia" w:ascii="宋体" w:hAnsi="宋体" w:cs="宋体"/>
                <w:snapToGrid w:val="0"/>
                <w:color w:val="auto"/>
                <w:kern w:val="0"/>
                <w:sz w:val="18"/>
                <w:szCs w:val="18"/>
              </w:rPr>
              <w:t>处置固定资产收益</w:t>
            </w:r>
          </w:p>
        </w:tc>
        <w:tc>
          <w:tcPr>
            <w:tcW w:w="2977" w:type="dxa"/>
            <w:tcBorders>
              <w:top w:val="single" w:color="auto" w:sz="12" w:space="0"/>
              <w:bottom w:val="single" w:color="auto" w:sz="4" w:space="0"/>
              <w:right w:val="single" w:color="auto" w:sz="4" w:space="0"/>
            </w:tcBorders>
            <w:vAlign w:val="bottom"/>
          </w:tcPr>
          <w:p>
            <w:pPr>
              <w:jc w:val="right"/>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41,113.72</w:t>
            </w:r>
          </w:p>
        </w:tc>
        <w:tc>
          <w:tcPr>
            <w:tcW w:w="2977" w:type="dxa"/>
            <w:tcBorders>
              <w:top w:val="single" w:color="auto" w:sz="12" w:space="0"/>
              <w:bottom w:val="single" w:color="auto" w:sz="4" w:space="0"/>
            </w:tcBorders>
            <w:vAlign w:val="bottom"/>
          </w:tcPr>
          <w:p>
            <w:pPr>
              <w:jc w:val="right"/>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144,039.41</w:t>
            </w:r>
          </w:p>
        </w:tc>
      </w:tr>
      <w:tr>
        <w:tblPrEx>
          <w:tblCellMar>
            <w:top w:w="0" w:type="dxa"/>
            <w:left w:w="30" w:type="dxa"/>
            <w:bottom w:w="0" w:type="dxa"/>
            <w:right w:w="30" w:type="dxa"/>
          </w:tblCellMar>
        </w:tblPrEx>
        <w:trPr>
          <w:trHeight w:val="454" w:hRule="atLeast"/>
        </w:trPr>
        <w:tc>
          <w:tcPr>
            <w:tcW w:w="2977" w:type="dxa"/>
            <w:tcBorders>
              <w:top w:val="single" w:color="auto" w:sz="12" w:space="0"/>
              <w:bottom w:val="single" w:color="auto" w:sz="12" w:space="0"/>
              <w:right w:val="single" w:color="auto" w:sz="4" w:space="0"/>
            </w:tcBorders>
            <w:vAlign w:val="bottom"/>
          </w:tcPr>
          <w:p>
            <w:pPr>
              <w:jc w:val="center"/>
              <w:rPr>
                <w:rFonts w:ascii="宋体" w:hAnsi="宋体"/>
                <w:b/>
                <w:bCs/>
                <w:snapToGrid w:val="0"/>
                <w:color w:val="auto"/>
                <w:kern w:val="0"/>
                <w:sz w:val="18"/>
                <w:szCs w:val="18"/>
              </w:rPr>
            </w:pPr>
            <w:r>
              <w:rPr>
                <w:rFonts w:hint="eastAsia" w:ascii="宋体" w:hAnsi="宋体" w:cs="宋体"/>
                <w:b/>
                <w:bCs/>
                <w:snapToGrid w:val="0"/>
                <w:color w:val="auto"/>
                <w:kern w:val="0"/>
                <w:sz w:val="18"/>
                <w:szCs w:val="18"/>
              </w:rPr>
              <w:t>合计</w:t>
            </w:r>
          </w:p>
        </w:tc>
        <w:tc>
          <w:tcPr>
            <w:tcW w:w="2977" w:type="dxa"/>
            <w:tcBorders>
              <w:top w:val="single" w:color="auto" w:sz="12" w:space="0"/>
              <w:bottom w:val="single" w:color="auto" w:sz="12" w:space="0"/>
              <w:right w:val="single" w:color="auto" w:sz="4" w:space="0"/>
            </w:tcBorders>
            <w:vAlign w:val="bottom"/>
          </w:tcPr>
          <w:p>
            <w:pPr>
              <w:jc w:val="right"/>
              <w:rPr>
                <w:rFonts w:cs="宋体" w:asciiTheme="majorEastAsia" w:hAnsiTheme="majorEastAsia" w:eastAsiaTheme="majorEastAsia"/>
                <w:b/>
                <w:color w:val="auto"/>
                <w:sz w:val="18"/>
                <w:szCs w:val="18"/>
              </w:rPr>
            </w:pPr>
            <w:r>
              <w:rPr>
                <w:rFonts w:cs="宋体" w:asciiTheme="majorEastAsia" w:hAnsiTheme="majorEastAsia" w:eastAsiaTheme="majorEastAsia"/>
                <w:b/>
                <w:color w:val="auto"/>
                <w:sz w:val="18"/>
                <w:szCs w:val="18"/>
              </w:rPr>
              <w:t>41,113.72</w:t>
            </w:r>
          </w:p>
        </w:tc>
        <w:tc>
          <w:tcPr>
            <w:tcW w:w="2977" w:type="dxa"/>
            <w:tcBorders>
              <w:top w:val="single" w:color="auto" w:sz="12" w:space="0"/>
              <w:bottom w:val="single" w:color="auto" w:sz="12" w:space="0"/>
            </w:tcBorders>
            <w:vAlign w:val="bottom"/>
          </w:tcPr>
          <w:p>
            <w:pPr>
              <w:jc w:val="right"/>
              <w:rPr>
                <w:rFonts w:cs="宋体" w:asciiTheme="majorEastAsia" w:hAnsiTheme="majorEastAsia" w:eastAsiaTheme="majorEastAsia"/>
                <w:b/>
                <w:bCs/>
                <w:color w:val="auto"/>
                <w:sz w:val="18"/>
                <w:szCs w:val="18"/>
              </w:rPr>
            </w:pPr>
            <w:r>
              <w:rPr>
                <w:rFonts w:cs="宋体" w:asciiTheme="majorEastAsia" w:hAnsiTheme="majorEastAsia" w:eastAsiaTheme="majorEastAsia"/>
                <w:b/>
                <w:color w:val="auto"/>
                <w:sz w:val="18"/>
                <w:szCs w:val="18"/>
              </w:rPr>
              <w:t>144,039.41</w:t>
            </w:r>
          </w:p>
        </w:tc>
      </w:tr>
    </w:tbl>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（2）报告期公司资产处置收益全部计入非经常性损益。</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46、营业外收入</w:t>
      </w:r>
    </w:p>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）明细项目：</w:t>
      </w:r>
    </w:p>
    <w:tbl>
      <w:tblPr>
        <w:tblStyle w:val="9"/>
        <w:tblW w:w="5000" w:type="pct"/>
        <w:tblCaption w:val="&quot;\\lisheng\共享\1、伟隆2022年度审计\1、2022年度审计\1、附注及报告\2022年\附注计算-伟隆 - 2022.xlsx&quot; &quot;2022附注格式!_ReportTable_0086&quot;"/>
        <w:tblDescription w:val="A709:C714"/>
        <w:tblInd w:w="0" w:type="dxa"/>
        <w:tblLayout w:type="autofit"/>
        <w:tblCellMar>
          <w:top w:w="0" w:type="dxa"/>
          <w:left w:w="30" w:type="dxa"/>
          <w:bottom w:w="0" w:type="dxa"/>
          <w:right w:w="30" w:type="dxa"/>
        </w:tblCellMar>
      </w:tblPr>
      <w:tblGrid>
        <w:gridCol w:w="3101"/>
        <w:gridCol w:w="3297"/>
        <w:gridCol w:w="3299"/>
      </w:tblGrid>
      <w:tr>
        <w:trPr>
          <w:trHeight w:val="454" w:hRule="atLeast"/>
        </w:trPr>
        <w:tc>
          <w:tcPr>
            <w:tcW w:w="1599" w:type="pct"/>
            <w:tcBorders>
              <w:top w:val="single" w:color="auto" w:sz="12"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w:t>
            </w:r>
            <w:r>
              <w:rPr>
                <w:rFonts w:asciiTheme="minorEastAsia" w:hAnsiTheme="minorEastAsia" w:eastAsiaTheme="minorEastAsia"/>
                <w:b/>
                <w:bCs/>
                <w:color w:val="auto"/>
                <w:sz w:val="18"/>
                <w:szCs w:val="18"/>
              </w:rPr>
              <w:t xml:space="preserve">   目</w:t>
            </w:r>
          </w:p>
        </w:tc>
        <w:tc>
          <w:tcPr>
            <w:tcW w:w="1700" w:type="pct"/>
            <w:tcBorders>
              <w:top w:val="single" w:color="auto" w:sz="12" w:space="0"/>
              <w:bottom w:val="single" w:color="auto" w:sz="12" w:space="0"/>
              <w:right w:val="single" w:color="auto" w:sz="4"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本期发生额</w:t>
            </w:r>
          </w:p>
        </w:tc>
        <w:tc>
          <w:tcPr>
            <w:tcW w:w="1701" w:type="pct"/>
            <w:tcBorders>
              <w:top w:val="single" w:color="auto" w:sz="12"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上期发生额</w:t>
            </w:r>
          </w:p>
        </w:tc>
      </w:tr>
      <w:tr>
        <w:tblPrEx>
          <w:tblCellMar>
            <w:top w:w="0" w:type="dxa"/>
            <w:left w:w="30" w:type="dxa"/>
            <w:bottom w:w="0" w:type="dxa"/>
            <w:right w:w="30" w:type="dxa"/>
          </w:tblCellMar>
        </w:tblPrEx>
        <w:trPr>
          <w:trHeight w:val="454" w:hRule="atLeast"/>
        </w:trPr>
        <w:tc>
          <w:tcPr>
            <w:tcW w:w="1599" w:type="pct"/>
            <w:tcBorders>
              <w:top w:val="single" w:color="auto" w:sz="4" w:space="0"/>
              <w:bottom w:val="single" w:color="auto" w:sz="4" w:space="0"/>
              <w:right w:val="single" w:color="auto" w:sz="4" w:space="0"/>
            </w:tcBorders>
            <w:vAlign w:val="bottom"/>
          </w:tcPr>
          <w:p>
            <w:pPr>
              <w:rPr>
                <w:rFonts w:ascii="宋体"/>
                <w:color w:val="auto"/>
                <w:sz w:val="18"/>
                <w:szCs w:val="18"/>
              </w:rPr>
            </w:pPr>
            <w:r>
              <w:rPr>
                <w:rFonts w:hint="eastAsia"/>
                <w:color w:val="auto"/>
                <w:kern w:val="0"/>
                <w:sz w:val="18"/>
                <w:szCs w:val="18"/>
              </w:rPr>
              <w:t>非流动资产毁损报废利得</w:t>
            </w:r>
          </w:p>
        </w:tc>
        <w:tc>
          <w:tcPr>
            <w:tcW w:w="1700"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29,943.71</w:t>
            </w:r>
          </w:p>
        </w:tc>
        <w:tc>
          <w:tcPr>
            <w:tcW w:w="1701"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xml:space="preserve">        392,009.51 </w:t>
            </w:r>
          </w:p>
        </w:tc>
      </w:tr>
      <w:tr>
        <w:tblPrEx>
          <w:tblCellMar>
            <w:top w:w="0" w:type="dxa"/>
            <w:left w:w="30" w:type="dxa"/>
            <w:bottom w:w="0" w:type="dxa"/>
            <w:right w:w="30" w:type="dxa"/>
          </w:tblCellMar>
        </w:tblPrEx>
        <w:trPr>
          <w:trHeight w:val="454" w:hRule="atLeast"/>
        </w:trPr>
        <w:tc>
          <w:tcPr>
            <w:tcW w:w="1599" w:type="pct"/>
            <w:tcBorders>
              <w:top w:val="single" w:color="auto" w:sz="4" w:space="0"/>
              <w:bottom w:val="single" w:color="auto" w:sz="4" w:space="0"/>
              <w:right w:val="single" w:color="auto" w:sz="4" w:space="0"/>
            </w:tcBorders>
            <w:vAlign w:val="bottom"/>
          </w:tcPr>
          <w:p>
            <w:pPr>
              <w:rPr>
                <w:rFonts w:ascii="宋体"/>
                <w:color w:val="auto"/>
                <w:sz w:val="18"/>
                <w:szCs w:val="18"/>
              </w:rPr>
            </w:pPr>
            <w:r>
              <w:rPr>
                <w:rFonts w:hint="eastAsia" w:ascii="宋体" w:hAnsi="宋体"/>
                <w:color w:val="auto"/>
                <w:sz w:val="18"/>
                <w:szCs w:val="18"/>
              </w:rPr>
              <w:t>其他</w:t>
            </w:r>
          </w:p>
        </w:tc>
        <w:tc>
          <w:tcPr>
            <w:tcW w:w="1700"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123,734.26</w:t>
            </w:r>
          </w:p>
        </w:tc>
        <w:tc>
          <w:tcPr>
            <w:tcW w:w="1701"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xml:space="preserve">      1,156,579.93 </w:t>
            </w:r>
          </w:p>
        </w:tc>
      </w:tr>
      <w:tr>
        <w:tblPrEx>
          <w:tblCellMar>
            <w:top w:w="0" w:type="dxa"/>
            <w:left w:w="30" w:type="dxa"/>
            <w:bottom w:w="0" w:type="dxa"/>
            <w:right w:w="30" w:type="dxa"/>
          </w:tblCellMar>
        </w:tblPrEx>
        <w:trPr>
          <w:trHeight w:val="454" w:hRule="atLeast"/>
        </w:trPr>
        <w:tc>
          <w:tcPr>
            <w:tcW w:w="1599" w:type="pct"/>
            <w:tcBorders>
              <w:top w:val="single" w:color="auto" w:sz="12" w:space="0"/>
              <w:bottom w:val="single" w:color="auto" w:sz="12" w:space="0"/>
              <w:right w:val="single" w:color="auto" w:sz="4" w:space="0"/>
            </w:tcBorders>
            <w:vAlign w:val="bottom"/>
          </w:tcPr>
          <w:p>
            <w:pPr>
              <w:jc w:val="center"/>
              <w:rPr>
                <w:rFonts w:ascii="宋体" w:hAnsi="宋体" w:cs="宋体"/>
                <w:b/>
                <w:bCs/>
                <w:color w:val="auto"/>
                <w:sz w:val="18"/>
                <w:szCs w:val="18"/>
              </w:rPr>
            </w:pPr>
            <w:r>
              <w:rPr>
                <w:rFonts w:hint="eastAsia"/>
                <w:b/>
                <w:bCs/>
                <w:color w:val="auto"/>
                <w:sz w:val="18"/>
                <w:szCs w:val="18"/>
              </w:rPr>
              <w:t>合计</w:t>
            </w:r>
          </w:p>
        </w:tc>
        <w:tc>
          <w:tcPr>
            <w:tcW w:w="1700" w:type="pct"/>
            <w:tcBorders>
              <w:top w:val="single" w:color="auto" w:sz="12"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153,677.97</w:t>
            </w:r>
          </w:p>
        </w:tc>
        <w:tc>
          <w:tcPr>
            <w:tcW w:w="1701" w:type="pct"/>
            <w:tcBorders>
              <w:top w:val="single" w:color="auto" w:sz="12" w:space="0"/>
              <w:bottom w:val="single" w:color="auto" w:sz="12" w:space="0"/>
            </w:tcBorders>
            <w:vAlign w:val="bottom"/>
          </w:tcPr>
          <w:p>
            <w:pPr>
              <w:jc w:val="right"/>
              <w:rPr>
                <w:rFonts w:cs="宋体" w:asciiTheme="majorEastAsia" w:hAnsiTheme="majorEastAsia" w:eastAsiaTheme="majorEastAsia"/>
                <w:b/>
                <w:bCs/>
                <w:color w:val="auto"/>
                <w:sz w:val="18"/>
                <w:szCs w:val="18"/>
              </w:rPr>
            </w:pPr>
            <w:r>
              <w:rPr>
                <w:rFonts w:hint="eastAsia" w:asciiTheme="minorEastAsia" w:hAnsiTheme="minorEastAsia" w:eastAsiaTheme="minorEastAsia"/>
                <w:b/>
                <w:bCs/>
                <w:color w:val="auto"/>
                <w:sz w:val="18"/>
                <w:szCs w:val="18"/>
              </w:rPr>
              <w:t xml:space="preserve">    1,548,589.44 </w:t>
            </w:r>
          </w:p>
        </w:tc>
      </w:tr>
    </w:tbl>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（2）报告期公司营业外收入全部计入非经常性损益。</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47、营业外支出</w:t>
      </w:r>
    </w:p>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）明细项目：</w:t>
      </w:r>
    </w:p>
    <w:tbl>
      <w:tblPr>
        <w:tblStyle w:val="9"/>
        <w:tblW w:w="5000" w:type="pct"/>
        <w:tblCaption w:val="&quot;\\lisheng\共享\1、伟隆2022年度审计\1、2022年度审计\1、附注及报告\2022年\附注计算-伟隆 - 2022.xlsx&quot; &quot;2022附注格式!_ReportTable_0087&quot;"/>
        <w:tblDescription w:val="A718:C722"/>
        <w:tblInd w:w="0" w:type="dxa"/>
        <w:tblLayout w:type="autofit"/>
        <w:tblCellMar>
          <w:top w:w="0" w:type="dxa"/>
          <w:left w:w="30" w:type="dxa"/>
          <w:bottom w:w="0" w:type="dxa"/>
          <w:right w:w="30" w:type="dxa"/>
        </w:tblCellMar>
      </w:tblPr>
      <w:tblGrid>
        <w:gridCol w:w="3407"/>
        <w:gridCol w:w="3144"/>
        <w:gridCol w:w="3146"/>
      </w:tblGrid>
      <w:tr>
        <w:tblPrEx>
          <w:tblCellMar>
            <w:top w:w="0" w:type="dxa"/>
            <w:left w:w="30" w:type="dxa"/>
            <w:bottom w:w="0" w:type="dxa"/>
            <w:right w:w="30" w:type="dxa"/>
          </w:tblCellMar>
        </w:tblPrEx>
        <w:trPr>
          <w:trHeight w:val="454" w:hRule="atLeast"/>
        </w:trPr>
        <w:tc>
          <w:tcPr>
            <w:tcW w:w="1757" w:type="pct"/>
            <w:tcBorders>
              <w:top w:val="single" w:color="auto" w:sz="12"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w:t>
            </w:r>
            <w:r>
              <w:rPr>
                <w:rFonts w:asciiTheme="minorEastAsia" w:hAnsiTheme="minorEastAsia" w:eastAsiaTheme="minorEastAsia"/>
                <w:b/>
                <w:bCs/>
                <w:color w:val="auto"/>
                <w:sz w:val="18"/>
                <w:szCs w:val="18"/>
              </w:rPr>
              <w:t xml:space="preserve">   目</w:t>
            </w:r>
          </w:p>
        </w:tc>
        <w:tc>
          <w:tcPr>
            <w:tcW w:w="1621" w:type="pct"/>
            <w:tcBorders>
              <w:top w:val="single" w:color="auto" w:sz="12" w:space="0"/>
              <w:bottom w:val="single" w:color="auto" w:sz="12" w:space="0"/>
              <w:right w:val="single" w:color="auto" w:sz="4"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本期发生额</w:t>
            </w:r>
          </w:p>
        </w:tc>
        <w:tc>
          <w:tcPr>
            <w:tcW w:w="1622" w:type="pct"/>
            <w:tcBorders>
              <w:top w:val="single" w:color="auto" w:sz="12"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上期发生额</w:t>
            </w:r>
          </w:p>
        </w:tc>
      </w:tr>
      <w:tr>
        <w:tblPrEx>
          <w:tblCellMar>
            <w:top w:w="0" w:type="dxa"/>
            <w:left w:w="30" w:type="dxa"/>
            <w:bottom w:w="0" w:type="dxa"/>
            <w:right w:w="30" w:type="dxa"/>
          </w:tblCellMar>
        </w:tblPrEx>
        <w:trPr>
          <w:trHeight w:val="454" w:hRule="atLeast"/>
        </w:trPr>
        <w:tc>
          <w:tcPr>
            <w:tcW w:w="1757" w:type="pct"/>
            <w:tcBorders>
              <w:top w:val="single" w:color="auto" w:sz="4" w:space="0"/>
              <w:bottom w:val="single" w:color="auto" w:sz="4" w:space="0"/>
              <w:right w:val="single" w:color="auto" w:sz="4" w:space="0"/>
            </w:tcBorders>
            <w:vAlign w:val="bottom"/>
          </w:tcPr>
          <w:p>
            <w:pPr>
              <w:rPr>
                <w:rFonts w:cs="宋体" w:asciiTheme="minorEastAsia" w:hAnsiTheme="minorEastAsia" w:eastAsiaTheme="minorEastAsia"/>
                <w:color w:val="auto"/>
                <w:sz w:val="18"/>
                <w:szCs w:val="18"/>
              </w:rPr>
            </w:pPr>
            <w:r>
              <w:rPr>
                <w:rFonts w:hint="eastAsia"/>
                <w:color w:val="auto"/>
                <w:kern w:val="0"/>
                <w:sz w:val="18"/>
                <w:szCs w:val="18"/>
              </w:rPr>
              <w:t>非流动资产毁损报废损失</w:t>
            </w:r>
          </w:p>
        </w:tc>
        <w:tc>
          <w:tcPr>
            <w:tcW w:w="1621"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337,017.89</w:t>
            </w:r>
          </w:p>
        </w:tc>
        <w:tc>
          <w:tcPr>
            <w:tcW w:w="1622"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xml:space="preserve">         12,677.19 </w:t>
            </w:r>
          </w:p>
        </w:tc>
      </w:tr>
      <w:tr>
        <w:tblPrEx>
          <w:tblCellMar>
            <w:top w:w="0" w:type="dxa"/>
            <w:left w:w="30" w:type="dxa"/>
            <w:bottom w:w="0" w:type="dxa"/>
            <w:right w:w="30" w:type="dxa"/>
          </w:tblCellMar>
        </w:tblPrEx>
        <w:trPr>
          <w:trHeight w:val="454" w:hRule="atLeast"/>
        </w:trPr>
        <w:tc>
          <w:tcPr>
            <w:tcW w:w="1757" w:type="pct"/>
            <w:tcBorders>
              <w:top w:val="single" w:color="auto" w:sz="4" w:space="0"/>
              <w:bottom w:val="single" w:color="auto" w:sz="4" w:space="0"/>
              <w:right w:val="single" w:color="auto" w:sz="4" w:space="0"/>
            </w:tcBorders>
            <w:vAlign w:val="bottom"/>
          </w:tcPr>
          <w:p>
            <w:pP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捐赠</w:t>
            </w:r>
          </w:p>
        </w:tc>
        <w:tc>
          <w:tcPr>
            <w:tcW w:w="1621"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1622"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xml:space="preserve">         38,000.00 </w:t>
            </w:r>
          </w:p>
        </w:tc>
      </w:tr>
      <w:tr>
        <w:tblPrEx>
          <w:tblCellMar>
            <w:top w:w="0" w:type="dxa"/>
            <w:left w:w="30" w:type="dxa"/>
            <w:bottom w:w="0" w:type="dxa"/>
            <w:right w:w="30" w:type="dxa"/>
          </w:tblCellMar>
        </w:tblPrEx>
        <w:trPr>
          <w:trHeight w:val="454" w:hRule="atLeast"/>
        </w:trPr>
        <w:tc>
          <w:tcPr>
            <w:tcW w:w="1757" w:type="pct"/>
            <w:tcBorders>
              <w:top w:val="single" w:color="auto" w:sz="4" w:space="0"/>
              <w:bottom w:val="single" w:color="auto" w:sz="4" w:space="0"/>
              <w:right w:val="single" w:color="auto" w:sz="4" w:space="0"/>
            </w:tcBorders>
            <w:vAlign w:val="bottom"/>
          </w:tcPr>
          <w:p>
            <w:pP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其他</w:t>
            </w:r>
          </w:p>
        </w:tc>
        <w:tc>
          <w:tcPr>
            <w:tcW w:w="1621"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109,828.01</w:t>
            </w:r>
          </w:p>
        </w:tc>
        <w:tc>
          <w:tcPr>
            <w:tcW w:w="1622"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xml:space="preserve">         61,826.67 </w:t>
            </w:r>
          </w:p>
        </w:tc>
      </w:tr>
      <w:tr>
        <w:tblPrEx>
          <w:tblCellMar>
            <w:top w:w="0" w:type="dxa"/>
            <w:left w:w="30" w:type="dxa"/>
            <w:bottom w:w="0" w:type="dxa"/>
            <w:right w:w="30" w:type="dxa"/>
          </w:tblCellMar>
        </w:tblPrEx>
        <w:trPr>
          <w:trHeight w:val="454" w:hRule="atLeast"/>
        </w:trPr>
        <w:tc>
          <w:tcPr>
            <w:tcW w:w="1757" w:type="pct"/>
            <w:tcBorders>
              <w:top w:val="single" w:color="auto" w:sz="12" w:space="0"/>
              <w:bottom w:val="single" w:color="auto" w:sz="12" w:space="0"/>
              <w:right w:val="single" w:color="auto" w:sz="4" w:space="0"/>
            </w:tcBorders>
            <w:vAlign w:val="bottom"/>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合计</w:t>
            </w:r>
          </w:p>
        </w:tc>
        <w:tc>
          <w:tcPr>
            <w:tcW w:w="1621" w:type="pct"/>
            <w:tcBorders>
              <w:top w:val="single" w:color="auto" w:sz="12"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446,845.90</w:t>
            </w:r>
          </w:p>
        </w:tc>
        <w:tc>
          <w:tcPr>
            <w:tcW w:w="1622" w:type="pct"/>
            <w:tcBorders>
              <w:top w:val="single" w:color="auto" w:sz="12" w:space="0"/>
              <w:bottom w:val="single" w:color="auto" w:sz="12" w:space="0"/>
            </w:tcBorders>
            <w:vAlign w:val="bottom"/>
          </w:tcPr>
          <w:p>
            <w:pPr>
              <w:jc w:val="right"/>
              <w:rPr>
                <w:rFonts w:cs="宋体" w:asciiTheme="majorEastAsia" w:hAnsiTheme="majorEastAsia" w:eastAsiaTheme="majorEastAsia"/>
                <w:b/>
                <w:bCs/>
                <w:color w:val="auto"/>
                <w:sz w:val="18"/>
                <w:szCs w:val="18"/>
              </w:rPr>
            </w:pPr>
            <w:r>
              <w:rPr>
                <w:rFonts w:hint="eastAsia" w:asciiTheme="minorEastAsia" w:hAnsiTheme="minorEastAsia" w:eastAsiaTheme="minorEastAsia"/>
                <w:b/>
                <w:bCs/>
                <w:color w:val="auto"/>
                <w:sz w:val="18"/>
                <w:szCs w:val="18"/>
              </w:rPr>
              <w:t xml:space="preserve">      112,503.86 </w:t>
            </w:r>
          </w:p>
        </w:tc>
      </w:tr>
    </w:tbl>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）报告期公司营业外支出全部计入非经常性损益。</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48、所得税费用</w:t>
      </w:r>
    </w:p>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1）明细项目</w:t>
      </w:r>
      <w:r>
        <w:rPr>
          <w:rFonts w:hint="eastAsia" w:ascii="宋体" w:hAnsi="宋体"/>
          <w:color w:val="auto"/>
          <w:szCs w:val="21"/>
        </w:rPr>
        <w:t>：</w:t>
      </w:r>
    </w:p>
    <w:tbl>
      <w:tblPr>
        <w:tblStyle w:val="9"/>
        <w:tblW w:w="4937" w:type="pct"/>
        <w:tblCaption w:val="&quot;\\lisheng\共享\1、伟隆2022年度审计\1、2022年度审计\1、附注及报告\2022年\附注计算-伟隆 - 2022.xlsx&quot; &quot;2022附注格式!_ReportTable_0088&quot;"/>
        <w:tblDescription w:val="A726:C729"/>
        <w:tblInd w:w="0" w:type="dxa"/>
        <w:tblLayout w:type="autofit"/>
        <w:tblCellMar>
          <w:top w:w="0" w:type="dxa"/>
          <w:left w:w="30" w:type="dxa"/>
          <w:bottom w:w="0" w:type="dxa"/>
          <w:right w:w="30" w:type="dxa"/>
        </w:tblCellMar>
      </w:tblPr>
      <w:tblGrid>
        <w:gridCol w:w="3419"/>
        <w:gridCol w:w="3078"/>
        <w:gridCol w:w="3078"/>
      </w:tblGrid>
      <w:tr>
        <w:tblPrEx>
          <w:tblCellMar>
            <w:top w:w="0" w:type="dxa"/>
            <w:left w:w="30" w:type="dxa"/>
            <w:bottom w:w="0" w:type="dxa"/>
            <w:right w:w="30" w:type="dxa"/>
          </w:tblCellMar>
        </w:tblPrEx>
        <w:trPr>
          <w:trHeight w:val="454" w:hRule="atLeast"/>
        </w:trPr>
        <w:tc>
          <w:tcPr>
            <w:tcW w:w="1785" w:type="pct"/>
            <w:tcBorders>
              <w:top w:val="single" w:color="auto" w:sz="12"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w:t>
            </w:r>
            <w:r>
              <w:rPr>
                <w:rFonts w:asciiTheme="minorEastAsia" w:hAnsiTheme="minorEastAsia" w:eastAsiaTheme="minorEastAsia"/>
                <w:b/>
                <w:bCs/>
                <w:color w:val="auto"/>
                <w:sz w:val="18"/>
                <w:szCs w:val="18"/>
              </w:rPr>
              <w:t xml:space="preserve">   目</w:t>
            </w:r>
          </w:p>
        </w:tc>
        <w:tc>
          <w:tcPr>
            <w:tcW w:w="1607" w:type="pct"/>
            <w:tcBorders>
              <w:top w:val="single" w:color="auto" w:sz="12" w:space="0"/>
              <w:bottom w:val="single" w:color="auto" w:sz="12" w:space="0"/>
              <w:right w:val="single" w:color="auto" w:sz="4"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本期发生额</w:t>
            </w:r>
          </w:p>
        </w:tc>
        <w:tc>
          <w:tcPr>
            <w:tcW w:w="1607" w:type="pct"/>
            <w:tcBorders>
              <w:top w:val="single" w:color="auto" w:sz="12"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上期发生额</w:t>
            </w:r>
          </w:p>
        </w:tc>
      </w:tr>
      <w:tr>
        <w:tblPrEx>
          <w:tblCellMar>
            <w:top w:w="0" w:type="dxa"/>
            <w:left w:w="30" w:type="dxa"/>
            <w:bottom w:w="0" w:type="dxa"/>
            <w:right w:w="30" w:type="dxa"/>
          </w:tblCellMar>
        </w:tblPrEx>
        <w:trPr>
          <w:trHeight w:val="454" w:hRule="atLeast"/>
        </w:trPr>
        <w:tc>
          <w:tcPr>
            <w:tcW w:w="1785" w:type="pct"/>
            <w:tcBorders>
              <w:top w:val="single" w:color="auto" w:sz="4" w:space="0"/>
              <w:bottom w:val="single" w:color="auto" w:sz="4" w:space="0"/>
              <w:right w:val="single" w:color="auto" w:sz="4" w:space="0"/>
            </w:tcBorders>
            <w:vAlign w:val="bottom"/>
          </w:tcPr>
          <w:p>
            <w:pPr>
              <w:rPr>
                <w:rFonts w:ascii="宋体"/>
                <w:color w:val="auto"/>
                <w:sz w:val="18"/>
                <w:szCs w:val="18"/>
              </w:rPr>
            </w:pPr>
            <w:r>
              <w:rPr>
                <w:rFonts w:hint="eastAsia" w:ascii="宋体" w:hAnsi="宋体"/>
                <w:color w:val="auto"/>
                <w:sz w:val="18"/>
                <w:szCs w:val="18"/>
              </w:rPr>
              <w:t>当期所得税费用</w:t>
            </w:r>
          </w:p>
        </w:tc>
        <w:tc>
          <w:tcPr>
            <w:tcW w:w="1607"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21,416,458.33 </w:t>
            </w:r>
          </w:p>
        </w:tc>
        <w:tc>
          <w:tcPr>
            <w:tcW w:w="1607"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9,771,574.15 </w:t>
            </w:r>
          </w:p>
        </w:tc>
      </w:tr>
      <w:tr>
        <w:tblPrEx>
          <w:tblCellMar>
            <w:top w:w="0" w:type="dxa"/>
            <w:left w:w="30" w:type="dxa"/>
            <w:bottom w:w="0" w:type="dxa"/>
            <w:right w:w="30" w:type="dxa"/>
          </w:tblCellMar>
        </w:tblPrEx>
        <w:trPr>
          <w:trHeight w:val="454" w:hRule="atLeast"/>
        </w:trPr>
        <w:tc>
          <w:tcPr>
            <w:tcW w:w="1785" w:type="pct"/>
            <w:tcBorders>
              <w:top w:val="single" w:color="auto" w:sz="4" w:space="0"/>
              <w:bottom w:val="single" w:color="auto" w:sz="4" w:space="0"/>
              <w:right w:val="single" w:color="auto" w:sz="4" w:space="0"/>
            </w:tcBorders>
            <w:vAlign w:val="bottom"/>
          </w:tcPr>
          <w:p>
            <w:pPr>
              <w:rPr>
                <w:rFonts w:ascii="宋体"/>
                <w:color w:val="auto"/>
                <w:sz w:val="18"/>
                <w:szCs w:val="18"/>
              </w:rPr>
            </w:pPr>
            <w:r>
              <w:rPr>
                <w:rFonts w:hint="eastAsia" w:ascii="宋体" w:hAnsi="宋体"/>
                <w:color w:val="auto"/>
                <w:sz w:val="18"/>
                <w:szCs w:val="18"/>
              </w:rPr>
              <w:t>递延所得税费用</w:t>
            </w:r>
          </w:p>
        </w:tc>
        <w:tc>
          <w:tcPr>
            <w:tcW w:w="1607"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-289,426.82 </w:t>
            </w:r>
          </w:p>
        </w:tc>
        <w:tc>
          <w:tcPr>
            <w:tcW w:w="1607"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-3,229,329.83 </w:t>
            </w:r>
          </w:p>
        </w:tc>
      </w:tr>
      <w:tr>
        <w:trPr>
          <w:trHeight w:val="454" w:hRule="atLeast"/>
        </w:trPr>
        <w:tc>
          <w:tcPr>
            <w:tcW w:w="1785" w:type="pct"/>
            <w:tcBorders>
              <w:top w:val="single" w:color="auto" w:sz="12" w:space="0"/>
              <w:bottom w:val="single" w:color="auto" w:sz="12" w:space="0"/>
              <w:right w:val="single" w:color="auto" w:sz="4" w:space="0"/>
            </w:tcBorders>
            <w:vAlign w:val="bottom"/>
          </w:tcPr>
          <w:p>
            <w:pPr>
              <w:jc w:val="center"/>
              <w:rPr>
                <w:rFonts w:ascii="宋体" w:cs="宋体"/>
                <w:b/>
                <w:color w:val="auto"/>
                <w:sz w:val="18"/>
                <w:szCs w:val="18"/>
              </w:rPr>
            </w:pPr>
            <w:r>
              <w:rPr>
                <w:rFonts w:hint="eastAsia" w:ascii="宋体" w:hAnsi="宋体"/>
                <w:b/>
                <w:bCs/>
                <w:color w:val="auto"/>
                <w:sz w:val="18"/>
                <w:szCs w:val="18"/>
              </w:rPr>
              <w:t>合计</w:t>
            </w:r>
          </w:p>
        </w:tc>
        <w:tc>
          <w:tcPr>
            <w:tcW w:w="1607" w:type="pct"/>
            <w:tcBorders>
              <w:top w:val="single" w:color="auto" w:sz="12"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21,127,031.51 </w:t>
            </w:r>
          </w:p>
        </w:tc>
        <w:tc>
          <w:tcPr>
            <w:tcW w:w="1607" w:type="pct"/>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6,542,244.32 </w:t>
            </w:r>
          </w:p>
        </w:tc>
      </w:tr>
    </w:tbl>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（2）</w:t>
      </w:r>
      <w:bookmarkStart w:id="33" w:name="OLE_LINK15"/>
      <w:r>
        <w:rPr>
          <w:rFonts w:hint="eastAsia" w:ascii="宋体" w:hAnsi="宋体"/>
          <w:color w:val="auto"/>
          <w:szCs w:val="21"/>
        </w:rPr>
        <w:t>会计利润与所得税费用调整过程：</w:t>
      </w:r>
    </w:p>
    <w:bookmarkEnd w:id="33"/>
    <w:tbl>
      <w:tblPr>
        <w:tblStyle w:val="9"/>
        <w:tblW w:w="4937" w:type="pct"/>
        <w:tblCaption w:val="&quot;\\lisheng\共享\1、伟隆2022年度审计\1、2022年度审计\1、附注及报告\2022年\附注计算-伟隆 - 2022.xlsx&quot; &quot;2022附注格式!_ReportTable_0089&quot;"/>
        <w:tblDescription w:val="A731:C741"/>
        <w:tblInd w:w="0" w:type="dxa"/>
        <w:tblLayout w:type="autofit"/>
        <w:tblCellMar>
          <w:top w:w="0" w:type="dxa"/>
          <w:left w:w="30" w:type="dxa"/>
          <w:bottom w:w="0" w:type="dxa"/>
          <w:right w:w="30" w:type="dxa"/>
        </w:tblCellMar>
      </w:tblPr>
      <w:tblGrid>
        <w:gridCol w:w="3468"/>
        <w:gridCol w:w="3030"/>
        <w:gridCol w:w="3077"/>
      </w:tblGrid>
      <w:tr>
        <w:tblPrEx>
          <w:tblCellMar>
            <w:top w:w="0" w:type="dxa"/>
            <w:left w:w="30" w:type="dxa"/>
            <w:bottom w:w="0" w:type="dxa"/>
            <w:right w:w="30" w:type="dxa"/>
          </w:tblCellMar>
        </w:tblPrEx>
        <w:trPr>
          <w:trHeight w:val="454" w:hRule="atLeast"/>
        </w:trPr>
        <w:tc>
          <w:tcPr>
            <w:tcW w:w="1811" w:type="pct"/>
            <w:tcBorders>
              <w:top w:val="single" w:color="auto" w:sz="12"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w:t>
            </w:r>
            <w:r>
              <w:rPr>
                <w:rFonts w:asciiTheme="minorEastAsia" w:hAnsiTheme="minorEastAsia" w:eastAsiaTheme="minorEastAsia"/>
                <w:b/>
                <w:bCs/>
                <w:color w:val="auto"/>
                <w:sz w:val="18"/>
                <w:szCs w:val="18"/>
              </w:rPr>
              <w:t xml:space="preserve">   目</w:t>
            </w:r>
          </w:p>
        </w:tc>
        <w:tc>
          <w:tcPr>
            <w:tcW w:w="1582" w:type="pct"/>
            <w:tcBorders>
              <w:top w:val="single" w:color="auto" w:sz="12" w:space="0"/>
              <w:bottom w:val="single" w:color="auto" w:sz="12" w:space="0"/>
              <w:right w:val="single" w:color="auto" w:sz="4"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本期发生额</w:t>
            </w:r>
          </w:p>
        </w:tc>
        <w:tc>
          <w:tcPr>
            <w:tcW w:w="1607" w:type="pct"/>
            <w:tcBorders>
              <w:top w:val="single" w:color="auto" w:sz="12" w:space="0"/>
              <w:left w:val="single" w:color="auto" w:sz="4"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上期发生额</w:t>
            </w:r>
          </w:p>
        </w:tc>
      </w:tr>
      <w:tr>
        <w:tblPrEx>
          <w:tblCellMar>
            <w:top w:w="0" w:type="dxa"/>
            <w:left w:w="30" w:type="dxa"/>
            <w:bottom w:w="0" w:type="dxa"/>
            <w:right w:w="30" w:type="dxa"/>
          </w:tblCellMar>
        </w:tblPrEx>
        <w:trPr>
          <w:trHeight w:val="454" w:hRule="atLeast"/>
        </w:trPr>
        <w:tc>
          <w:tcPr>
            <w:tcW w:w="1811" w:type="pct"/>
            <w:tcBorders>
              <w:top w:val="single" w:color="auto" w:sz="12" w:space="0"/>
              <w:bottom w:val="single" w:color="auto" w:sz="4" w:space="0"/>
              <w:right w:val="single" w:color="auto" w:sz="4" w:space="0"/>
            </w:tcBorders>
            <w:vAlign w:val="bottom"/>
          </w:tcPr>
          <w:p>
            <w:pPr>
              <w:rPr>
                <w:rFonts w:ascii="宋体" w:hAnsi="宋体" w:cs="宋体"/>
                <w:color w:val="auto"/>
                <w:sz w:val="18"/>
                <w:szCs w:val="18"/>
              </w:rPr>
            </w:pPr>
            <w:r>
              <w:rPr>
                <w:rFonts w:hint="eastAsia"/>
                <w:color w:val="auto"/>
                <w:sz w:val="18"/>
                <w:szCs w:val="18"/>
              </w:rPr>
              <w:t>利润总额</w:t>
            </w:r>
          </w:p>
        </w:tc>
        <w:tc>
          <w:tcPr>
            <w:tcW w:w="1582" w:type="pct"/>
            <w:tcBorders>
              <w:top w:val="single" w:color="auto" w:sz="12"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154,754,082.44 </w:t>
            </w:r>
          </w:p>
        </w:tc>
        <w:tc>
          <w:tcPr>
            <w:tcW w:w="1607" w:type="pct"/>
            <w:tcBorders>
              <w:top w:val="single" w:color="auto" w:sz="12"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67,535,733.11 </w:t>
            </w:r>
          </w:p>
        </w:tc>
      </w:tr>
      <w:tr>
        <w:tblPrEx>
          <w:tblCellMar>
            <w:top w:w="0" w:type="dxa"/>
            <w:left w:w="30" w:type="dxa"/>
            <w:bottom w:w="0" w:type="dxa"/>
            <w:right w:w="30" w:type="dxa"/>
          </w:tblCellMar>
        </w:tblPrEx>
        <w:trPr>
          <w:trHeight w:val="454" w:hRule="atLeast"/>
        </w:trPr>
        <w:tc>
          <w:tcPr>
            <w:tcW w:w="1811" w:type="pct"/>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ascii="宋体" w:hAnsi="宋体"/>
                <w:color w:val="auto"/>
                <w:sz w:val="18"/>
                <w:szCs w:val="18"/>
              </w:rPr>
              <w:t>按法定</w:t>
            </w:r>
            <w:r>
              <w:rPr>
                <w:rFonts w:ascii="宋体" w:hAnsi="宋体"/>
                <w:color w:val="auto"/>
                <w:sz w:val="18"/>
                <w:szCs w:val="18"/>
              </w:rPr>
              <w:t>/适用税率计算的所得税费用</w:t>
            </w:r>
          </w:p>
        </w:tc>
        <w:tc>
          <w:tcPr>
            <w:tcW w:w="1582"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23,213,112.37 </w:t>
            </w:r>
          </w:p>
        </w:tc>
        <w:tc>
          <w:tcPr>
            <w:tcW w:w="1607"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10,130,359.97 </w:t>
            </w:r>
          </w:p>
        </w:tc>
      </w:tr>
      <w:tr>
        <w:tblPrEx>
          <w:tblCellMar>
            <w:top w:w="0" w:type="dxa"/>
            <w:left w:w="30" w:type="dxa"/>
            <w:bottom w:w="0" w:type="dxa"/>
            <w:right w:w="30" w:type="dxa"/>
          </w:tblCellMar>
        </w:tblPrEx>
        <w:trPr>
          <w:trHeight w:val="454" w:hRule="atLeast"/>
        </w:trPr>
        <w:tc>
          <w:tcPr>
            <w:tcW w:w="1811" w:type="pct"/>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color w:val="auto"/>
                <w:sz w:val="18"/>
                <w:szCs w:val="18"/>
              </w:rPr>
              <w:t>子公司适用不同税率的影响</w:t>
            </w:r>
          </w:p>
        </w:tc>
        <w:tc>
          <w:tcPr>
            <w:tcW w:w="1582"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-631,307.96 </w:t>
            </w:r>
          </w:p>
        </w:tc>
        <w:tc>
          <w:tcPr>
            <w:tcW w:w="1607"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-225,518.45 </w:t>
            </w:r>
          </w:p>
        </w:tc>
      </w:tr>
      <w:tr>
        <w:tblPrEx>
          <w:tblCellMar>
            <w:top w:w="0" w:type="dxa"/>
            <w:left w:w="30" w:type="dxa"/>
            <w:bottom w:w="0" w:type="dxa"/>
            <w:right w:w="30" w:type="dxa"/>
          </w:tblCellMar>
        </w:tblPrEx>
        <w:trPr>
          <w:trHeight w:val="454" w:hRule="atLeast"/>
        </w:trPr>
        <w:tc>
          <w:tcPr>
            <w:tcW w:w="1811" w:type="pct"/>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color w:val="auto"/>
                <w:sz w:val="18"/>
                <w:szCs w:val="18"/>
              </w:rPr>
              <w:t>调整以前期间所得税的影响</w:t>
            </w:r>
          </w:p>
        </w:tc>
        <w:tc>
          <w:tcPr>
            <w:tcW w:w="1582"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1607"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40,676.18</w:t>
            </w:r>
          </w:p>
        </w:tc>
      </w:tr>
      <w:tr>
        <w:tblPrEx>
          <w:tblCellMar>
            <w:top w:w="0" w:type="dxa"/>
            <w:left w:w="30" w:type="dxa"/>
            <w:bottom w:w="0" w:type="dxa"/>
            <w:right w:w="30" w:type="dxa"/>
          </w:tblCellMar>
        </w:tblPrEx>
        <w:trPr>
          <w:trHeight w:val="454" w:hRule="atLeast"/>
        </w:trPr>
        <w:tc>
          <w:tcPr>
            <w:tcW w:w="1811" w:type="pct"/>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color w:val="auto"/>
                <w:sz w:val="18"/>
                <w:szCs w:val="18"/>
              </w:rPr>
              <w:t>不可抵扣的成本、费用和损失的影响</w:t>
            </w:r>
          </w:p>
        </w:tc>
        <w:tc>
          <w:tcPr>
            <w:tcW w:w="1582"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311,591.09 </w:t>
            </w:r>
          </w:p>
        </w:tc>
        <w:tc>
          <w:tcPr>
            <w:tcW w:w="1607"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139,857.18 </w:t>
            </w:r>
          </w:p>
        </w:tc>
      </w:tr>
      <w:tr>
        <w:tblPrEx>
          <w:tblCellMar>
            <w:top w:w="0" w:type="dxa"/>
            <w:left w:w="30" w:type="dxa"/>
            <w:bottom w:w="0" w:type="dxa"/>
            <w:right w:w="30" w:type="dxa"/>
          </w:tblCellMar>
        </w:tblPrEx>
        <w:trPr>
          <w:trHeight w:val="454" w:hRule="atLeast"/>
        </w:trPr>
        <w:tc>
          <w:tcPr>
            <w:tcW w:w="1811" w:type="pct"/>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color w:val="auto"/>
                <w:sz w:val="18"/>
                <w:szCs w:val="18"/>
              </w:rPr>
              <w:t>使用前期未确认递延所得税资产的可抵扣亏损的影响</w:t>
            </w:r>
          </w:p>
        </w:tc>
        <w:tc>
          <w:tcPr>
            <w:tcW w:w="1582"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-709,803.00 </w:t>
            </w:r>
          </w:p>
        </w:tc>
        <w:tc>
          <w:tcPr>
            <w:tcW w:w="1607"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r>
      <w:tr>
        <w:tblPrEx>
          <w:tblCellMar>
            <w:top w:w="0" w:type="dxa"/>
            <w:left w:w="30" w:type="dxa"/>
            <w:bottom w:w="0" w:type="dxa"/>
            <w:right w:w="30" w:type="dxa"/>
          </w:tblCellMar>
        </w:tblPrEx>
        <w:trPr>
          <w:trHeight w:val="454" w:hRule="atLeast"/>
        </w:trPr>
        <w:tc>
          <w:tcPr>
            <w:tcW w:w="1811" w:type="pct"/>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color w:val="auto"/>
                <w:sz w:val="18"/>
                <w:szCs w:val="18"/>
              </w:rPr>
              <w:t>本期未确认递延所得税资产的可抵扣暂时性差异或可抵扣亏损的影响</w:t>
            </w:r>
          </w:p>
        </w:tc>
        <w:tc>
          <w:tcPr>
            <w:tcW w:w="1582"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3,303,714.26 </w:t>
            </w:r>
          </w:p>
        </w:tc>
        <w:tc>
          <w:tcPr>
            <w:tcW w:w="1607"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941.08 </w:t>
            </w:r>
          </w:p>
        </w:tc>
      </w:tr>
      <w:tr>
        <w:tblPrEx>
          <w:tblCellMar>
            <w:top w:w="0" w:type="dxa"/>
            <w:left w:w="30" w:type="dxa"/>
            <w:bottom w:w="0" w:type="dxa"/>
            <w:right w:w="30" w:type="dxa"/>
          </w:tblCellMar>
        </w:tblPrEx>
        <w:trPr>
          <w:trHeight w:val="454" w:hRule="atLeast"/>
        </w:trPr>
        <w:tc>
          <w:tcPr>
            <w:tcW w:w="1811" w:type="pct"/>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color w:val="auto"/>
                <w:sz w:val="18"/>
                <w:szCs w:val="18"/>
              </w:rPr>
              <w:t>技术开发费加计扣除的影响</w:t>
            </w:r>
          </w:p>
        </w:tc>
        <w:tc>
          <w:tcPr>
            <w:tcW w:w="1582"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-4,000,429.06 </w:t>
            </w:r>
          </w:p>
        </w:tc>
        <w:tc>
          <w:tcPr>
            <w:tcW w:w="1607"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-3,579,654.98 </w:t>
            </w:r>
          </w:p>
        </w:tc>
      </w:tr>
      <w:tr>
        <w:tblPrEx>
          <w:tblCellMar>
            <w:top w:w="0" w:type="dxa"/>
            <w:left w:w="30" w:type="dxa"/>
            <w:bottom w:w="0" w:type="dxa"/>
            <w:right w:w="30" w:type="dxa"/>
          </w:tblCellMar>
        </w:tblPrEx>
        <w:trPr>
          <w:trHeight w:val="454" w:hRule="atLeast"/>
        </w:trPr>
        <w:tc>
          <w:tcPr>
            <w:tcW w:w="1811" w:type="pct"/>
            <w:tcBorders>
              <w:top w:val="single" w:color="auto" w:sz="4" w:space="0"/>
              <w:bottom w:val="single" w:color="auto" w:sz="4" w:space="0"/>
              <w:right w:val="single" w:color="auto" w:sz="4" w:space="0"/>
            </w:tcBorders>
            <w:vAlign w:val="bottom"/>
          </w:tcPr>
          <w:p>
            <w:pPr>
              <w:rPr>
                <w:color w:val="auto"/>
                <w:sz w:val="18"/>
                <w:szCs w:val="18"/>
              </w:rPr>
            </w:pPr>
            <w:r>
              <w:rPr>
                <w:rFonts w:hint="eastAsia"/>
                <w:color w:val="auto"/>
                <w:sz w:val="18"/>
                <w:szCs w:val="18"/>
              </w:rPr>
              <w:t>税率变化导致的递延所得税资产/负债的变化</w:t>
            </w:r>
          </w:p>
        </w:tc>
        <w:tc>
          <w:tcPr>
            <w:tcW w:w="1582"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 </w:t>
            </w:r>
          </w:p>
        </w:tc>
        <w:tc>
          <w:tcPr>
            <w:tcW w:w="1607" w:type="pct"/>
            <w:tcBorders>
              <w:top w:val="single" w:color="auto" w:sz="4" w:space="0"/>
              <w:left w:val="single" w:color="auto" w:sz="4" w:space="0"/>
              <w:bottom w:val="single" w:color="auto" w:sz="4" w:space="0"/>
            </w:tcBorders>
            <w:vAlign w:val="bottom"/>
          </w:tcPr>
          <w:p>
            <w:pPr>
              <w:jc w:val="righ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35,583.34 </w:t>
            </w:r>
          </w:p>
        </w:tc>
      </w:tr>
      <w:tr>
        <w:tblPrEx>
          <w:tblCellMar>
            <w:top w:w="0" w:type="dxa"/>
            <w:left w:w="30" w:type="dxa"/>
            <w:bottom w:w="0" w:type="dxa"/>
            <w:right w:w="30" w:type="dxa"/>
          </w:tblCellMar>
        </w:tblPrEx>
        <w:trPr>
          <w:trHeight w:val="454" w:hRule="atLeast"/>
        </w:trPr>
        <w:tc>
          <w:tcPr>
            <w:tcW w:w="1811" w:type="pct"/>
            <w:tcBorders>
              <w:top w:val="single" w:color="auto" w:sz="4" w:space="0"/>
              <w:bottom w:val="single" w:color="auto" w:sz="4" w:space="0"/>
              <w:right w:val="single" w:color="auto" w:sz="4" w:space="0"/>
            </w:tcBorders>
            <w:vAlign w:val="bottom"/>
          </w:tcPr>
          <w:p>
            <w:pPr>
              <w:rPr>
                <w:rFonts w:ascii="宋体" w:hAnsi="宋体"/>
                <w:bCs/>
                <w:color w:val="auto"/>
                <w:sz w:val="18"/>
                <w:szCs w:val="18"/>
              </w:rPr>
            </w:pPr>
            <w:r>
              <w:rPr>
                <w:rFonts w:hint="eastAsia" w:ascii="宋体" w:hAnsi="宋体"/>
                <w:bCs/>
                <w:color w:val="auto"/>
                <w:sz w:val="18"/>
                <w:szCs w:val="18"/>
              </w:rPr>
              <w:t>购置固定资产加计扣除的影响</w:t>
            </w:r>
          </w:p>
        </w:tc>
        <w:tc>
          <w:tcPr>
            <w:tcW w:w="1582" w:type="pct"/>
            <w:tcBorders>
              <w:top w:val="single" w:color="auto" w:sz="4" w:space="0"/>
              <w:bottom w:val="single" w:color="auto" w:sz="4" w:space="0"/>
              <w:right w:val="single" w:color="auto" w:sz="4" w:space="0"/>
            </w:tcBorders>
            <w:vAlign w:val="bottom"/>
          </w:tcPr>
          <w:p>
            <w:pPr>
              <w:jc w:val="righ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-157,100.12 </w:t>
            </w:r>
          </w:p>
        </w:tc>
        <w:tc>
          <w:tcPr>
            <w:tcW w:w="1607" w:type="pct"/>
            <w:tcBorders>
              <w:top w:val="single" w:color="auto" w:sz="4" w:space="0"/>
              <w:left w:val="single" w:color="auto" w:sz="4" w:space="0"/>
              <w:bottom w:val="single" w:color="auto" w:sz="4" w:space="0"/>
            </w:tcBorders>
            <w:vAlign w:val="bottom"/>
          </w:tcPr>
          <w:p>
            <w:pPr>
              <w:jc w:val="right"/>
              <w:rPr>
                <w:rFonts w:asciiTheme="minorEastAsia" w:hAnsiTheme="minorEastAsia" w:eastAsiaTheme="minorEastAsia"/>
                <w:color w:val="auto"/>
                <w:sz w:val="18"/>
                <w:szCs w:val="18"/>
              </w:rPr>
            </w:pPr>
          </w:p>
        </w:tc>
      </w:tr>
      <w:tr>
        <w:tblPrEx>
          <w:tblCellMar>
            <w:top w:w="0" w:type="dxa"/>
            <w:left w:w="30" w:type="dxa"/>
            <w:bottom w:w="0" w:type="dxa"/>
            <w:right w:w="30" w:type="dxa"/>
          </w:tblCellMar>
        </w:tblPrEx>
        <w:trPr>
          <w:trHeight w:val="454" w:hRule="atLeast"/>
        </w:trPr>
        <w:tc>
          <w:tcPr>
            <w:tcW w:w="1811" w:type="pct"/>
            <w:tcBorders>
              <w:top w:val="single" w:color="auto" w:sz="4" w:space="0"/>
              <w:bottom w:val="single" w:color="auto" w:sz="12" w:space="0"/>
              <w:right w:val="single" w:color="auto" w:sz="4" w:space="0"/>
            </w:tcBorders>
            <w:vAlign w:val="bottom"/>
          </w:tcPr>
          <w:p>
            <w:pPr>
              <w:rPr>
                <w:rFonts w:ascii="宋体" w:hAnsi="宋体"/>
                <w:bCs/>
                <w:color w:val="auto"/>
                <w:sz w:val="18"/>
                <w:szCs w:val="18"/>
              </w:rPr>
            </w:pPr>
            <w:r>
              <w:rPr>
                <w:rFonts w:hint="eastAsia" w:ascii="宋体" w:hAnsi="宋体"/>
                <w:bCs/>
                <w:color w:val="auto"/>
                <w:sz w:val="18"/>
                <w:szCs w:val="18"/>
              </w:rPr>
              <w:t>其他</w:t>
            </w:r>
          </w:p>
        </w:tc>
        <w:tc>
          <w:tcPr>
            <w:tcW w:w="1582" w:type="pct"/>
            <w:tcBorders>
              <w:top w:val="single" w:color="auto" w:sz="4" w:space="0"/>
              <w:bottom w:val="single" w:color="auto" w:sz="12" w:space="0"/>
              <w:right w:val="single" w:color="auto" w:sz="4" w:space="0"/>
            </w:tcBorders>
            <w:vAlign w:val="bottom"/>
          </w:tcPr>
          <w:p>
            <w:pPr>
              <w:jc w:val="righ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-202,746.07 </w:t>
            </w:r>
          </w:p>
        </w:tc>
        <w:tc>
          <w:tcPr>
            <w:tcW w:w="1607" w:type="pct"/>
            <w:tcBorders>
              <w:top w:val="single" w:color="auto" w:sz="4" w:space="0"/>
              <w:left w:val="single" w:color="auto" w:sz="4" w:space="0"/>
              <w:bottom w:val="single" w:color="auto" w:sz="12" w:space="0"/>
            </w:tcBorders>
            <w:vAlign w:val="bottom"/>
          </w:tcPr>
          <w:p>
            <w:pPr>
              <w:jc w:val="right"/>
              <w:rPr>
                <w:rFonts w:asciiTheme="minorEastAsia" w:hAnsiTheme="minorEastAsia" w:eastAsiaTheme="minorEastAsia"/>
                <w:color w:val="auto"/>
                <w:sz w:val="18"/>
                <w:szCs w:val="18"/>
              </w:rPr>
            </w:pPr>
          </w:p>
        </w:tc>
      </w:tr>
      <w:tr>
        <w:tblPrEx>
          <w:tblCellMar>
            <w:top w:w="0" w:type="dxa"/>
            <w:left w:w="30" w:type="dxa"/>
            <w:bottom w:w="0" w:type="dxa"/>
            <w:right w:w="30" w:type="dxa"/>
          </w:tblCellMar>
        </w:tblPrEx>
        <w:trPr>
          <w:trHeight w:val="454" w:hRule="atLeast"/>
        </w:trPr>
        <w:tc>
          <w:tcPr>
            <w:tcW w:w="1811" w:type="pct"/>
            <w:tcBorders>
              <w:top w:val="single" w:color="auto" w:sz="4" w:space="0"/>
              <w:bottom w:val="single" w:color="auto" w:sz="12" w:space="0"/>
              <w:right w:val="single" w:color="auto" w:sz="4" w:space="0"/>
            </w:tcBorders>
            <w:vAlign w:val="bottom"/>
          </w:tcPr>
          <w:p>
            <w:pPr>
              <w:rPr>
                <w:rFonts w:ascii="宋体" w:cs="宋体"/>
                <w:b/>
                <w:color w:val="auto"/>
                <w:sz w:val="18"/>
                <w:szCs w:val="18"/>
              </w:rPr>
            </w:pPr>
            <w:r>
              <w:rPr>
                <w:rFonts w:hint="eastAsia" w:ascii="宋体" w:hAnsi="宋体"/>
                <w:b/>
                <w:bCs/>
                <w:color w:val="auto"/>
                <w:sz w:val="18"/>
                <w:szCs w:val="18"/>
              </w:rPr>
              <w:t>所得税费用</w:t>
            </w:r>
          </w:p>
        </w:tc>
        <w:tc>
          <w:tcPr>
            <w:tcW w:w="1582" w:type="pct"/>
            <w:tcBorders>
              <w:top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color w:val="auto"/>
                <w:sz w:val="18"/>
                <w:szCs w:val="18"/>
              </w:rPr>
            </w:pPr>
            <w:r>
              <w:rPr>
                <w:rFonts w:hint="eastAsia" w:asciiTheme="minorEastAsia" w:hAnsiTheme="minorEastAsia" w:eastAsiaTheme="minorEastAsia"/>
                <w:b/>
                <w:bCs/>
                <w:color w:val="auto"/>
                <w:sz w:val="18"/>
                <w:szCs w:val="18"/>
              </w:rPr>
              <w:t xml:space="preserve">21,127,031.51 </w:t>
            </w:r>
          </w:p>
        </w:tc>
        <w:tc>
          <w:tcPr>
            <w:tcW w:w="1607" w:type="pct"/>
            <w:tcBorders>
              <w:top w:val="single" w:color="auto" w:sz="4" w:space="0"/>
              <w:left w:val="single" w:color="auto" w:sz="4" w:space="0"/>
              <w:bottom w:val="single" w:color="auto" w:sz="12" w:space="0"/>
            </w:tcBorders>
            <w:vAlign w:val="bottom"/>
          </w:tcPr>
          <w:p>
            <w:pPr>
              <w:jc w:val="right"/>
              <w:rPr>
                <w:rFonts w:cs="宋体"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 xml:space="preserve">6,542,244.32 </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49、现</w:t>
      </w:r>
      <w:bookmarkStart w:id="35" w:name="_GoBack"/>
      <w:bookmarkEnd w:id="35"/>
      <w:r>
        <w:rPr>
          <w:rFonts w:hint="eastAsia" w:ascii="宋体" w:hAnsi="宋体" w:eastAsia="宋体"/>
          <w:b/>
          <w:color w:val="auto"/>
          <w:sz w:val="24"/>
          <w:szCs w:val="24"/>
        </w:rPr>
        <w:t>金流量表项目</w:t>
      </w:r>
    </w:p>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）收到其他与经营活动有关的现金：</w:t>
      </w:r>
    </w:p>
    <w:tbl>
      <w:tblPr>
        <w:tblStyle w:val="9"/>
        <w:tblW w:w="4937" w:type="pct"/>
        <w:tblCaption w:val="&quot;\\lisheng\共享\1、伟隆2022年度审计\1、2022年度审计\1、附注及报告\2022年\附注计算-伟隆 - 2022.xlsx&quot; &quot;2022附注格式!_ReportTable_0090&quot;"/>
        <w:tblDescription w:val="A745:C749"/>
        <w:tblInd w:w="0" w:type="dxa"/>
        <w:tblLayout w:type="autofit"/>
        <w:tblCellMar>
          <w:top w:w="0" w:type="dxa"/>
          <w:left w:w="30" w:type="dxa"/>
          <w:bottom w:w="0" w:type="dxa"/>
          <w:right w:w="30" w:type="dxa"/>
        </w:tblCellMar>
      </w:tblPr>
      <w:tblGrid>
        <w:gridCol w:w="3573"/>
        <w:gridCol w:w="3001"/>
        <w:gridCol w:w="3001"/>
      </w:tblGrid>
      <w:tr>
        <w:tblPrEx>
          <w:tblCellMar>
            <w:top w:w="0" w:type="dxa"/>
            <w:left w:w="30" w:type="dxa"/>
            <w:bottom w:w="0" w:type="dxa"/>
            <w:right w:w="30" w:type="dxa"/>
          </w:tblCellMar>
        </w:tblPrEx>
        <w:trPr>
          <w:trHeight w:val="454" w:hRule="atLeast"/>
        </w:trPr>
        <w:tc>
          <w:tcPr>
            <w:tcW w:w="1866" w:type="pct"/>
            <w:tcBorders>
              <w:top w:val="single" w:color="auto" w:sz="12"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w:t>
            </w:r>
            <w:r>
              <w:rPr>
                <w:rFonts w:asciiTheme="minorEastAsia" w:hAnsiTheme="minorEastAsia" w:eastAsiaTheme="minorEastAsia"/>
                <w:b/>
                <w:bCs/>
                <w:color w:val="auto"/>
                <w:sz w:val="18"/>
                <w:szCs w:val="18"/>
              </w:rPr>
              <w:t xml:space="preserve">   目</w:t>
            </w:r>
          </w:p>
        </w:tc>
        <w:tc>
          <w:tcPr>
            <w:tcW w:w="1567" w:type="pct"/>
            <w:tcBorders>
              <w:top w:val="single" w:color="auto" w:sz="12" w:space="0"/>
              <w:bottom w:val="single" w:color="auto" w:sz="12" w:space="0"/>
              <w:right w:val="single" w:color="auto" w:sz="4"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本期发生额</w:t>
            </w:r>
          </w:p>
        </w:tc>
        <w:tc>
          <w:tcPr>
            <w:tcW w:w="1567" w:type="pct"/>
            <w:tcBorders>
              <w:top w:val="single" w:color="auto" w:sz="12"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上期发生额</w:t>
            </w:r>
          </w:p>
        </w:tc>
      </w:tr>
      <w:tr>
        <w:tblPrEx>
          <w:tblCellMar>
            <w:top w:w="0" w:type="dxa"/>
            <w:left w:w="30" w:type="dxa"/>
            <w:bottom w:w="0" w:type="dxa"/>
            <w:right w:w="30" w:type="dxa"/>
          </w:tblCellMar>
        </w:tblPrEx>
        <w:trPr>
          <w:trHeight w:val="454" w:hRule="atLeast"/>
        </w:trPr>
        <w:tc>
          <w:tcPr>
            <w:tcW w:w="1866" w:type="pct"/>
            <w:tcBorders>
              <w:top w:val="single" w:color="auto" w:sz="4" w:space="0"/>
              <w:bottom w:val="single" w:color="auto" w:sz="4" w:space="0"/>
              <w:right w:val="single" w:color="auto" w:sz="4" w:space="0"/>
            </w:tcBorders>
            <w:vAlign w:val="bottom"/>
          </w:tcPr>
          <w:p>
            <w:pPr>
              <w:rPr>
                <w:rFonts w:ascii="宋体" w:cs="宋体"/>
                <w:color w:val="auto"/>
                <w:sz w:val="18"/>
                <w:szCs w:val="18"/>
              </w:rPr>
            </w:pPr>
            <w:r>
              <w:rPr>
                <w:rFonts w:hint="eastAsia" w:ascii="宋体" w:hAnsi="宋体" w:cs="宋体"/>
                <w:color w:val="auto"/>
                <w:sz w:val="18"/>
                <w:szCs w:val="18"/>
              </w:rPr>
              <w:t>补贴收入</w:t>
            </w:r>
          </w:p>
        </w:tc>
        <w:tc>
          <w:tcPr>
            <w:tcW w:w="1567"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2,834,908.23 </w:t>
            </w:r>
          </w:p>
        </w:tc>
        <w:tc>
          <w:tcPr>
            <w:tcW w:w="1567"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      2,195,805.05 </w:t>
            </w:r>
          </w:p>
        </w:tc>
      </w:tr>
      <w:tr>
        <w:tblPrEx>
          <w:tblCellMar>
            <w:top w:w="0" w:type="dxa"/>
            <w:left w:w="30" w:type="dxa"/>
            <w:bottom w:w="0" w:type="dxa"/>
            <w:right w:w="30" w:type="dxa"/>
          </w:tblCellMar>
        </w:tblPrEx>
        <w:trPr>
          <w:trHeight w:val="454" w:hRule="atLeast"/>
        </w:trPr>
        <w:tc>
          <w:tcPr>
            <w:tcW w:w="1866" w:type="pct"/>
            <w:tcBorders>
              <w:top w:val="single" w:color="auto" w:sz="4" w:space="0"/>
              <w:bottom w:val="single" w:color="auto" w:sz="4" w:space="0"/>
              <w:right w:val="single" w:color="auto" w:sz="4" w:space="0"/>
            </w:tcBorders>
            <w:vAlign w:val="bottom"/>
          </w:tcPr>
          <w:p>
            <w:pPr>
              <w:rPr>
                <w:rFonts w:ascii="宋体" w:cs="宋体"/>
                <w:color w:val="auto"/>
                <w:sz w:val="18"/>
                <w:szCs w:val="18"/>
              </w:rPr>
            </w:pPr>
            <w:r>
              <w:rPr>
                <w:rFonts w:hint="eastAsia" w:ascii="宋体" w:hAnsi="宋体" w:cs="宋体"/>
                <w:color w:val="auto"/>
                <w:sz w:val="18"/>
                <w:szCs w:val="18"/>
              </w:rPr>
              <w:t>利息收入</w:t>
            </w:r>
          </w:p>
        </w:tc>
        <w:tc>
          <w:tcPr>
            <w:tcW w:w="1567"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471,144.35 </w:t>
            </w:r>
          </w:p>
        </w:tc>
        <w:tc>
          <w:tcPr>
            <w:tcW w:w="1567"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        275,540.94 </w:t>
            </w:r>
          </w:p>
        </w:tc>
      </w:tr>
      <w:tr>
        <w:tblPrEx>
          <w:tblCellMar>
            <w:top w:w="0" w:type="dxa"/>
            <w:left w:w="30" w:type="dxa"/>
            <w:bottom w:w="0" w:type="dxa"/>
            <w:right w:w="30" w:type="dxa"/>
          </w:tblCellMar>
        </w:tblPrEx>
        <w:trPr>
          <w:trHeight w:val="454" w:hRule="atLeast"/>
        </w:trPr>
        <w:tc>
          <w:tcPr>
            <w:tcW w:w="1866" w:type="pct"/>
            <w:tcBorders>
              <w:top w:val="single" w:color="auto" w:sz="4" w:space="0"/>
              <w:bottom w:val="single" w:color="auto" w:sz="4" w:space="0"/>
              <w:right w:val="single" w:color="auto" w:sz="4" w:space="0"/>
            </w:tcBorders>
            <w:vAlign w:val="bottom"/>
          </w:tcPr>
          <w:p>
            <w:pPr>
              <w:rPr>
                <w:rFonts w:ascii="宋体" w:cs="宋体"/>
                <w:color w:val="auto"/>
                <w:sz w:val="18"/>
                <w:szCs w:val="18"/>
              </w:rPr>
            </w:pPr>
            <w:r>
              <w:rPr>
                <w:rFonts w:hint="eastAsia" w:ascii="宋体" w:hAnsi="宋体" w:cs="宋体"/>
                <w:color w:val="auto"/>
                <w:sz w:val="18"/>
                <w:szCs w:val="18"/>
              </w:rPr>
              <w:t>往来款及其他</w:t>
            </w:r>
          </w:p>
        </w:tc>
        <w:tc>
          <w:tcPr>
            <w:tcW w:w="1567"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3,808,631.06 </w:t>
            </w:r>
          </w:p>
        </w:tc>
        <w:tc>
          <w:tcPr>
            <w:tcW w:w="1567"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      6,858,184.77 </w:t>
            </w:r>
          </w:p>
        </w:tc>
      </w:tr>
      <w:tr>
        <w:tblPrEx>
          <w:tblCellMar>
            <w:top w:w="0" w:type="dxa"/>
            <w:left w:w="30" w:type="dxa"/>
            <w:bottom w:w="0" w:type="dxa"/>
            <w:right w:w="30" w:type="dxa"/>
          </w:tblCellMar>
        </w:tblPrEx>
        <w:trPr>
          <w:trHeight w:val="454" w:hRule="atLeast"/>
        </w:trPr>
        <w:tc>
          <w:tcPr>
            <w:tcW w:w="1866" w:type="pct"/>
            <w:tcBorders>
              <w:top w:val="single" w:color="auto" w:sz="12" w:space="0"/>
              <w:bottom w:val="single" w:color="auto" w:sz="12" w:space="0"/>
              <w:right w:val="single" w:color="auto" w:sz="4" w:space="0"/>
            </w:tcBorders>
            <w:vAlign w:val="bottom"/>
          </w:tcPr>
          <w:p>
            <w:pPr>
              <w:jc w:val="center"/>
              <w:rPr>
                <w:rFonts w:ascii="宋体" w:cs="宋体"/>
                <w:b/>
                <w:color w:val="auto"/>
                <w:sz w:val="18"/>
                <w:szCs w:val="18"/>
              </w:rPr>
            </w:pPr>
            <w:r>
              <w:rPr>
                <w:rFonts w:hint="eastAsia" w:ascii="宋体" w:hAnsi="宋体"/>
                <w:b/>
                <w:bCs/>
                <w:color w:val="auto"/>
                <w:sz w:val="18"/>
                <w:szCs w:val="18"/>
              </w:rPr>
              <w:t>合计</w:t>
            </w:r>
          </w:p>
        </w:tc>
        <w:tc>
          <w:tcPr>
            <w:tcW w:w="1567" w:type="pct"/>
            <w:tcBorders>
              <w:top w:val="single" w:color="auto" w:sz="12"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7,114,683.64</w:t>
            </w:r>
          </w:p>
        </w:tc>
        <w:tc>
          <w:tcPr>
            <w:tcW w:w="1567" w:type="pct"/>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    9,329,530.76 </w:t>
            </w:r>
          </w:p>
        </w:tc>
      </w:tr>
    </w:tbl>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）支付其他与经营活动有关的现金：</w:t>
      </w:r>
    </w:p>
    <w:tbl>
      <w:tblPr>
        <w:tblStyle w:val="9"/>
        <w:tblW w:w="4937" w:type="pct"/>
        <w:tblCaption w:val="&quot;\\lisheng\共享\1、伟隆2022年度审计\1、2022年度审计\1、附注及报告\2022年\附注计算-伟隆 - 2022.xlsx&quot; &quot;2022附注格式!_ReportTable_0091&quot;"/>
        <w:tblDescription w:val="A751:C755"/>
        <w:tblInd w:w="0" w:type="dxa"/>
        <w:tblLayout w:type="autofit"/>
        <w:tblCellMar>
          <w:top w:w="0" w:type="dxa"/>
          <w:left w:w="30" w:type="dxa"/>
          <w:bottom w:w="0" w:type="dxa"/>
          <w:right w:w="30" w:type="dxa"/>
        </w:tblCellMar>
      </w:tblPr>
      <w:tblGrid>
        <w:gridCol w:w="3573"/>
        <w:gridCol w:w="3001"/>
        <w:gridCol w:w="3001"/>
      </w:tblGrid>
      <w:tr>
        <w:tblPrEx>
          <w:tblCellMar>
            <w:top w:w="0" w:type="dxa"/>
            <w:left w:w="30" w:type="dxa"/>
            <w:bottom w:w="0" w:type="dxa"/>
            <w:right w:w="30" w:type="dxa"/>
          </w:tblCellMar>
        </w:tblPrEx>
        <w:trPr>
          <w:trHeight w:val="454" w:hRule="atLeast"/>
        </w:trPr>
        <w:tc>
          <w:tcPr>
            <w:tcW w:w="1866" w:type="pct"/>
            <w:tcBorders>
              <w:top w:val="single" w:color="auto" w:sz="12"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w:t>
            </w:r>
            <w:r>
              <w:rPr>
                <w:rFonts w:asciiTheme="minorEastAsia" w:hAnsiTheme="minorEastAsia" w:eastAsiaTheme="minorEastAsia"/>
                <w:b/>
                <w:bCs/>
                <w:color w:val="auto"/>
                <w:sz w:val="18"/>
                <w:szCs w:val="18"/>
              </w:rPr>
              <w:t xml:space="preserve">   目</w:t>
            </w:r>
          </w:p>
        </w:tc>
        <w:tc>
          <w:tcPr>
            <w:tcW w:w="1567" w:type="pct"/>
            <w:tcBorders>
              <w:top w:val="single" w:color="auto" w:sz="12" w:space="0"/>
              <w:bottom w:val="single" w:color="auto" w:sz="12" w:space="0"/>
              <w:right w:val="single" w:color="auto" w:sz="4"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本期发生额</w:t>
            </w:r>
          </w:p>
        </w:tc>
        <w:tc>
          <w:tcPr>
            <w:tcW w:w="1567" w:type="pct"/>
            <w:tcBorders>
              <w:top w:val="single" w:color="auto" w:sz="12"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上期发生额</w:t>
            </w:r>
          </w:p>
        </w:tc>
      </w:tr>
      <w:tr>
        <w:tblPrEx>
          <w:tblCellMar>
            <w:top w:w="0" w:type="dxa"/>
            <w:left w:w="30" w:type="dxa"/>
            <w:bottom w:w="0" w:type="dxa"/>
            <w:right w:w="30" w:type="dxa"/>
          </w:tblCellMar>
        </w:tblPrEx>
        <w:trPr>
          <w:trHeight w:val="454" w:hRule="atLeast"/>
        </w:trPr>
        <w:tc>
          <w:tcPr>
            <w:tcW w:w="1866" w:type="pct"/>
            <w:tcBorders>
              <w:top w:val="single" w:color="auto" w:sz="4" w:space="0"/>
              <w:bottom w:val="single" w:color="auto" w:sz="4" w:space="0"/>
              <w:right w:val="single" w:color="auto" w:sz="4" w:space="0"/>
            </w:tcBorders>
            <w:vAlign w:val="bottom"/>
          </w:tcPr>
          <w:p>
            <w:pPr>
              <w:rPr>
                <w:rFonts w:ascii="宋体" w:cs="宋体"/>
                <w:color w:val="auto"/>
                <w:sz w:val="18"/>
                <w:szCs w:val="18"/>
              </w:rPr>
            </w:pPr>
            <w:r>
              <w:rPr>
                <w:rFonts w:hint="eastAsia" w:ascii="宋体" w:hAnsi="宋体"/>
                <w:color w:val="auto"/>
                <w:sz w:val="18"/>
                <w:szCs w:val="18"/>
              </w:rPr>
              <w:t>管理费用及研发费用中的现金支出</w:t>
            </w:r>
          </w:p>
        </w:tc>
        <w:tc>
          <w:tcPr>
            <w:tcW w:w="1567" w:type="pct"/>
            <w:tcBorders>
              <w:top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5,996,798.69 </w:t>
            </w:r>
          </w:p>
        </w:tc>
        <w:tc>
          <w:tcPr>
            <w:tcW w:w="1567"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      4,992,313.52 </w:t>
            </w:r>
          </w:p>
        </w:tc>
      </w:tr>
      <w:tr>
        <w:tblPrEx>
          <w:tblCellMar>
            <w:top w:w="0" w:type="dxa"/>
            <w:left w:w="30" w:type="dxa"/>
            <w:bottom w:w="0" w:type="dxa"/>
            <w:right w:w="30" w:type="dxa"/>
          </w:tblCellMar>
        </w:tblPrEx>
        <w:trPr>
          <w:trHeight w:val="454" w:hRule="atLeast"/>
        </w:trPr>
        <w:tc>
          <w:tcPr>
            <w:tcW w:w="1866" w:type="pct"/>
            <w:tcBorders>
              <w:top w:val="single" w:color="auto" w:sz="4" w:space="0"/>
              <w:bottom w:val="single" w:color="auto" w:sz="4" w:space="0"/>
              <w:right w:val="single" w:color="auto" w:sz="4" w:space="0"/>
            </w:tcBorders>
            <w:vAlign w:val="bottom"/>
          </w:tcPr>
          <w:p>
            <w:pPr>
              <w:rPr>
                <w:rFonts w:ascii="宋体" w:cs="宋体"/>
                <w:color w:val="auto"/>
                <w:sz w:val="18"/>
                <w:szCs w:val="18"/>
              </w:rPr>
            </w:pPr>
            <w:r>
              <w:rPr>
                <w:rFonts w:hint="eastAsia" w:ascii="宋体" w:hAnsi="宋体"/>
                <w:color w:val="auto"/>
                <w:sz w:val="18"/>
                <w:szCs w:val="18"/>
              </w:rPr>
              <w:t>销售费用中的现金支出</w:t>
            </w:r>
          </w:p>
        </w:tc>
        <w:tc>
          <w:tcPr>
            <w:tcW w:w="1567" w:type="pct"/>
            <w:tcBorders>
              <w:top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25,838,829.55 </w:t>
            </w:r>
          </w:p>
        </w:tc>
        <w:tc>
          <w:tcPr>
            <w:tcW w:w="1567"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     24,556,874.81 </w:t>
            </w:r>
          </w:p>
        </w:tc>
      </w:tr>
      <w:tr>
        <w:tblPrEx>
          <w:tblCellMar>
            <w:top w:w="0" w:type="dxa"/>
            <w:left w:w="30" w:type="dxa"/>
            <w:bottom w:w="0" w:type="dxa"/>
            <w:right w:w="30" w:type="dxa"/>
          </w:tblCellMar>
        </w:tblPrEx>
        <w:trPr>
          <w:trHeight w:val="454" w:hRule="atLeast"/>
        </w:trPr>
        <w:tc>
          <w:tcPr>
            <w:tcW w:w="1866" w:type="pct"/>
            <w:tcBorders>
              <w:top w:val="single" w:color="auto" w:sz="4" w:space="0"/>
              <w:bottom w:val="single" w:color="auto" w:sz="4" w:space="0"/>
              <w:right w:val="single" w:color="auto" w:sz="4" w:space="0"/>
            </w:tcBorders>
            <w:vAlign w:val="bottom"/>
          </w:tcPr>
          <w:p>
            <w:pPr>
              <w:rPr>
                <w:rFonts w:ascii="宋体" w:cs="宋体"/>
                <w:color w:val="auto"/>
                <w:sz w:val="18"/>
                <w:szCs w:val="18"/>
              </w:rPr>
            </w:pPr>
            <w:r>
              <w:rPr>
                <w:rFonts w:hint="eastAsia" w:ascii="宋体" w:hAnsi="宋体"/>
                <w:color w:val="auto"/>
                <w:sz w:val="18"/>
                <w:szCs w:val="18"/>
              </w:rPr>
              <w:t>往来款及其他</w:t>
            </w:r>
          </w:p>
        </w:tc>
        <w:tc>
          <w:tcPr>
            <w:tcW w:w="1567" w:type="pct"/>
            <w:tcBorders>
              <w:top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4,041,669.09 </w:t>
            </w:r>
          </w:p>
        </w:tc>
        <w:tc>
          <w:tcPr>
            <w:tcW w:w="1567"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      2,037,545.96 </w:t>
            </w:r>
          </w:p>
        </w:tc>
      </w:tr>
      <w:tr>
        <w:tblPrEx>
          <w:tblCellMar>
            <w:top w:w="0" w:type="dxa"/>
            <w:left w:w="30" w:type="dxa"/>
            <w:bottom w:w="0" w:type="dxa"/>
            <w:right w:w="30" w:type="dxa"/>
          </w:tblCellMar>
        </w:tblPrEx>
        <w:trPr>
          <w:trHeight w:val="454" w:hRule="atLeast"/>
        </w:trPr>
        <w:tc>
          <w:tcPr>
            <w:tcW w:w="1866" w:type="pct"/>
            <w:tcBorders>
              <w:top w:val="single" w:color="auto" w:sz="12" w:space="0"/>
              <w:bottom w:val="single" w:color="auto" w:sz="12" w:space="0"/>
              <w:right w:val="single" w:color="auto" w:sz="4" w:space="0"/>
            </w:tcBorders>
            <w:vAlign w:val="bottom"/>
          </w:tcPr>
          <w:p>
            <w:pPr>
              <w:jc w:val="center"/>
              <w:rPr>
                <w:rFonts w:ascii="宋体" w:cs="宋体"/>
                <w:b/>
                <w:color w:val="auto"/>
                <w:sz w:val="18"/>
                <w:szCs w:val="18"/>
              </w:rPr>
            </w:pPr>
            <w:r>
              <w:rPr>
                <w:rFonts w:hint="eastAsia" w:ascii="宋体" w:hAnsi="宋体"/>
                <w:b/>
                <w:bCs/>
                <w:color w:val="auto"/>
                <w:sz w:val="18"/>
                <w:szCs w:val="18"/>
              </w:rPr>
              <w:t>合计</w:t>
            </w:r>
          </w:p>
        </w:tc>
        <w:tc>
          <w:tcPr>
            <w:tcW w:w="1567" w:type="pct"/>
            <w:tcBorders>
              <w:top w:val="single" w:color="auto" w:sz="12" w:space="0"/>
              <w:bottom w:val="single" w:color="auto" w:sz="12" w:space="0"/>
              <w:right w:val="single" w:color="auto" w:sz="4" w:space="0"/>
            </w:tcBorders>
            <w:vAlign w:val="bottom"/>
          </w:tcPr>
          <w:p>
            <w:pPr>
              <w:jc w:val="right"/>
              <w:rPr>
                <w:rFonts w:ascii="宋体" w:hAnsi="宋体" w:cs="宋体"/>
                <w:b/>
                <w:bCs/>
                <w:color w:val="auto"/>
                <w:sz w:val="18"/>
                <w:szCs w:val="18"/>
              </w:rPr>
            </w:pPr>
            <w:r>
              <w:rPr>
                <w:rFonts w:hint="eastAsia" w:ascii="宋体" w:hAnsi="宋体"/>
                <w:b/>
                <w:bCs/>
                <w:color w:val="auto"/>
                <w:sz w:val="18"/>
                <w:szCs w:val="18"/>
              </w:rPr>
              <w:t xml:space="preserve">35,877,297.33 </w:t>
            </w:r>
          </w:p>
        </w:tc>
        <w:tc>
          <w:tcPr>
            <w:tcW w:w="1567" w:type="pct"/>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   31,586,734.29 </w:t>
            </w:r>
          </w:p>
        </w:tc>
      </w:tr>
    </w:tbl>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（3）收到其他与投资活动有关的现金：</w:t>
      </w:r>
    </w:p>
    <w:tbl>
      <w:tblPr>
        <w:tblStyle w:val="9"/>
        <w:tblW w:w="4937" w:type="pct"/>
        <w:tblInd w:w="0" w:type="dxa"/>
        <w:tblLayout w:type="autofit"/>
        <w:tblCellMar>
          <w:top w:w="0" w:type="dxa"/>
          <w:left w:w="30" w:type="dxa"/>
          <w:bottom w:w="0" w:type="dxa"/>
          <w:right w:w="30" w:type="dxa"/>
        </w:tblCellMar>
      </w:tblPr>
      <w:tblGrid>
        <w:gridCol w:w="3573"/>
        <w:gridCol w:w="3001"/>
        <w:gridCol w:w="3001"/>
      </w:tblGrid>
      <w:tr>
        <w:tblPrEx>
          <w:tblCellMar>
            <w:top w:w="0" w:type="dxa"/>
            <w:left w:w="30" w:type="dxa"/>
            <w:bottom w:w="0" w:type="dxa"/>
            <w:right w:w="30" w:type="dxa"/>
          </w:tblCellMar>
        </w:tblPrEx>
        <w:trPr>
          <w:trHeight w:val="454" w:hRule="atLeast"/>
        </w:trPr>
        <w:tc>
          <w:tcPr>
            <w:tcW w:w="1866" w:type="pct"/>
            <w:tcBorders>
              <w:top w:val="single" w:color="auto" w:sz="12"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w:t>
            </w:r>
            <w:r>
              <w:rPr>
                <w:rFonts w:asciiTheme="minorEastAsia" w:hAnsiTheme="minorEastAsia" w:eastAsiaTheme="minorEastAsia"/>
                <w:b/>
                <w:bCs/>
                <w:color w:val="auto"/>
                <w:sz w:val="18"/>
                <w:szCs w:val="18"/>
              </w:rPr>
              <w:t>目</w:t>
            </w:r>
          </w:p>
        </w:tc>
        <w:tc>
          <w:tcPr>
            <w:tcW w:w="1567" w:type="pct"/>
            <w:tcBorders>
              <w:top w:val="single" w:color="auto" w:sz="12" w:space="0"/>
              <w:bottom w:val="single" w:color="auto" w:sz="12" w:space="0"/>
              <w:right w:val="single" w:color="auto" w:sz="4"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本期发生额</w:t>
            </w:r>
          </w:p>
        </w:tc>
        <w:tc>
          <w:tcPr>
            <w:tcW w:w="1567" w:type="pct"/>
            <w:tcBorders>
              <w:top w:val="single" w:color="auto" w:sz="12"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上期发生额</w:t>
            </w:r>
          </w:p>
        </w:tc>
      </w:tr>
      <w:tr>
        <w:tblPrEx>
          <w:tblCellMar>
            <w:top w:w="0" w:type="dxa"/>
            <w:left w:w="30" w:type="dxa"/>
            <w:bottom w:w="0" w:type="dxa"/>
            <w:right w:w="30" w:type="dxa"/>
          </w:tblCellMar>
        </w:tblPrEx>
        <w:trPr>
          <w:trHeight w:val="454" w:hRule="atLeast"/>
        </w:trPr>
        <w:tc>
          <w:tcPr>
            <w:tcW w:w="1866" w:type="pct"/>
            <w:tcBorders>
              <w:top w:val="single" w:color="auto" w:sz="12" w:space="0"/>
              <w:bottom w:val="single" w:color="auto" w:sz="12" w:space="0"/>
              <w:right w:val="single" w:color="auto" w:sz="4" w:space="0"/>
            </w:tcBorders>
            <w:vAlign w:val="bottom"/>
          </w:tcPr>
          <w:p>
            <w:pPr>
              <w:rPr>
                <w:rFonts w:ascii="宋体" w:cs="宋体"/>
                <w:color w:val="auto"/>
                <w:sz w:val="18"/>
                <w:szCs w:val="18"/>
              </w:rPr>
            </w:pPr>
            <w:r>
              <w:rPr>
                <w:rFonts w:hint="eastAsia" w:ascii="宋体" w:cs="宋体"/>
                <w:color w:val="auto"/>
                <w:sz w:val="18"/>
                <w:szCs w:val="18"/>
              </w:rPr>
              <w:t>股权转让押金</w:t>
            </w:r>
          </w:p>
        </w:tc>
        <w:tc>
          <w:tcPr>
            <w:tcW w:w="1567" w:type="pct"/>
            <w:tcBorders>
              <w:top w:val="single" w:color="auto" w:sz="12"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567" w:type="pct"/>
            <w:tcBorders>
              <w:top w:val="single" w:color="auto" w:sz="12" w:space="0"/>
              <w:bottom w:val="single" w:color="auto" w:sz="12" w:space="0"/>
            </w:tcBorders>
            <w:vAlign w:val="bottom"/>
          </w:tcPr>
          <w:p>
            <w:pPr>
              <w:jc w:val="right"/>
              <w:rPr>
                <w:rFonts w:cs="宋体" w:asciiTheme="majorEastAsia" w:hAnsiTheme="majorEastAsia" w:eastAsiaTheme="majorEastAsia"/>
                <w:color w:val="auto"/>
                <w:sz w:val="18"/>
                <w:szCs w:val="18"/>
              </w:rPr>
            </w:pPr>
            <w:r>
              <w:rPr>
                <w:rFonts w:ascii="宋体" w:hAnsi="宋体" w:cs="宋体"/>
                <w:color w:val="auto"/>
                <w:kern w:val="0"/>
                <w:sz w:val="18"/>
                <w:szCs w:val="18"/>
              </w:rPr>
              <w:t xml:space="preserve">      1</w:t>
            </w:r>
            <w:r>
              <w:rPr>
                <w:rFonts w:hint="eastAsia" w:ascii="宋体" w:hAnsi="宋体" w:cs="宋体"/>
                <w:color w:val="auto"/>
                <w:kern w:val="0"/>
                <w:sz w:val="18"/>
                <w:szCs w:val="18"/>
              </w:rPr>
              <w:t>0</w:t>
            </w:r>
            <w:r>
              <w:rPr>
                <w:rFonts w:ascii="宋体" w:hAnsi="宋体" w:cs="宋体"/>
                <w:color w:val="auto"/>
                <w:kern w:val="0"/>
                <w:sz w:val="18"/>
                <w:szCs w:val="18"/>
              </w:rPr>
              <w:t>,</w:t>
            </w:r>
            <w:r>
              <w:rPr>
                <w:rFonts w:hint="eastAsia" w:ascii="宋体" w:hAnsi="宋体" w:cs="宋体"/>
                <w:color w:val="auto"/>
                <w:kern w:val="0"/>
                <w:sz w:val="18"/>
                <w:szCs w:val="18"/>
              </w:rPr>
              <w:t>0</w:t>
            </w:r>
            <w:r>
              <w:rPr>
                <w:rFonts w:ascii="宋体" w:hAnsi="宋体" w:cs="宋体"/>
                <w:color w:val="auto"/>
                <w:kern w:val="0"/>
                <w:sz w:val="18"/>
                <w:szCs w:val="18"/>
              </w:rPr>
              <w:t xml:space="preserve">00,000.00 </w:t>
            </w:r>
          </w:p>
        </w:tc>
      </w:tr>
      <w:tr>
        <w:tblPrEx>
          <w:tblCellMar>
            <w:top w:w="0" w:type="dxa"/>
            <w:left w:w="30" w:type="dxa"/>
            <w:bottom w:w="0" w:type="dxa"/>
            <w:right w:w="30" w:type="dxa"/>
          </w:tblCellMar>
        </w:tblPrEx>
        <w:trPr>
          <w:trHeight w:val="454" w:hRule="atLeast"/>
        </w:trPr>
        <w:tc>
          <w:tcPr>
            <w:tcW w:w="1866" w:type="pct"/>
            <w:tcBorders>
              <w:top w:val="single" w:color="auto" w:sz="12" w:space="0"/>
              <w:bottom w:val="single" w:color="auto" w:sz="12" w:space="0"/>
              <w:right w:val="single" w:color="auto" w:sz="4" w:space="0"/>
            </w:tcBorders>
            <w:vAlign w:val="bottom"/>
          </w:tcPr>
          <w:p>
            <w:pPr>
              <w:jc w:val="center"/>
              <w:rPr>
                <w:rFonts w:ascii="宋体" w:cs="宋体"/>
                <w:b/>
                <w:color w:val="auto"/>
                <w:sz w:val="18"/>
                <w:szCs w:val="18"/>
              </w:rPr>
            </w:pPr>
            <w:r>
              <w:rPr>
                <w:rFonts w:hint="eastAsia" w:ascii="宋体" w:hAnsi="宋体"/>
                <w:b/>
                <w:bCs/>
                <w:color w:val="auto"/>
                <w:sz w:val="18"/>
                <w:szCs w:val="18"/>
              </w:rPr>
              <w:t>合计</w:t>
            </w:r>
          </w:p>
        </w:tc>
        <w:tc>
          <w:tcPr>
            <w:tcW w:w="1567" w:type="pct"/>
            <w:tcBorders>
              <w:top w:val="single" w:color="auto" w:sz="12" w:space="0"/>
              <w:bottom w:val="single" w:color="auto" w:sz="12" w:space="0"/>
              <w:right w:val="single" w:color="auto" w:sz="4" w:space="0"/>
            </w:tcBorders>
            <w:vAlign w:val="bottom"/>
          </w:tcPr>
          <w:p>
            <w:pPr>
              <w:autoSpaceDE w:val="0"/>
              <w:autoSpaceDN w:val="0"/>
              <w:adjustRightInd w:val="0"/>
              <w:jc w:val="right"/>
              <w:rPr>
                <w:rFonts w:ascii="宋体" w:hAnsi="宋体" w:cs="宋体"/>
                <w:b/>
                <w:color w:val="auto"/>
                <w:kern w:val="0"/>
                <w:sz w:val="18"/>
                <w:szCs w:val="18"/>
              </w:rPr>
            </w:pPr>
          </w:p>
        </w:tc>
        <w:tc>
          <w:tcPr>
            <w:tcW w:w="1567" w:type="pct"/>
            <w:tcBorders>
              <w:top w:val="single" w:color="auto" w:sz="12" w:space="0"/>
              <w:bottom w:val="single" w:color="auto" w:sz="12" w:space="0"/>
            </w:tcBorders>
            <w:vAlign w:val="bottom"/>
          </w:tcPr>
          <w:p>
            <w:pPr>
              <w:jc w:val="right"/>
              <w:rPr>
                <w:rFonts w:cs="宋体" w:asciiTheme="majorEastAsia" w:hAnsiTheme="majorEastAsia" w:eastAsiaTheme="majorEastAsia"/>
                <w:b/>
                <w:bCs/>
                <w:color w:val="auto"/>
                <w:sz w:val="18"/>
                <w:szCs w:val="18"/>
              </w:rPr>
            </w:pPr>
            <w:r>
              <w:rPr>
                <w:rFonts w:ascii="宋体" w:hAnsi="宋体" w:cs="宋体"/>
                <w:b/>
                <w:color w:val="auto"/>
                <w:kern w:val="0"/>
                <w:sz w:val="18"/>
                <w:szCs w:val="18"/>
              </w:rPr>
              <w:t xml:space="preserve">   10,000,000.00  </w:t>
            </w:r>
          </w:p>
        </w:tc>
      </w:tr>
    </w:tbl>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（4）支付其他与投资活动有关的现金：</w:t>
      </w:r>
    </w:p>
    <w:tbl>
      <w:tblPr>
        <w:tblStyle w:val="9"/>
        <w:tblW w:w="4937" w:type="pct"/>
        <w:tblInd w:w="0" w:type="dxa"/>
        <w:tblLayout w:type="autofit"/>
        <w:tblCellMar>
          <w:top w:w="0" w:type="dxa"/>
          <w:left w:w="30" w:type="dxa"/>
          <w:bottom w:w="0" w:type="dxa"/>
          <w:right w:w="30" w:type="dxa"/>
        </w:tblCellMar>
      </w:tblPr>
      <w:tblGrid>
        <w:gridCol w:w="3573"/>
        <w:gridCol w:w="3001"/>
        <w:gridCol w:w="3001"/>
      </w:tblGrid>
      <w:tr>
        <w:tblPrEx>
          <w:tblCellMar>
            <w:top w:w="0" w:type="dxa"/>
            <w:left w:w="30" w:type="dxa"/>
            <w:bottom w:w="0" w:type="dxa"/>
            <w:right w:w="30" w:type="dxa"/>
          </w:tblCellMar>
        </w:tblPrEx>
        <w:trPr>
          <w:trHeight w:val="454" w:hRule="atLeast"/>
        </w:trPr>
        <w:tc>
          <w:tcPr>
            <w:tcW w:w="1866" w:type="pct"/>
            <w:tcBorders>
              <w:top w:val="single" w:color="auto" w:sz="12"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w:t>
            </w:r>
            <w:r>
              <w:rPr>
                <w:rFonts w:asciiTheme="minorEastAsia" w:hAnsiTheme="minorEastAsia" w:eastAsiaTheme="minorEastAsia"/>
                <w:b/>
                <w:bCs/>
                <w:color w:val="auto"/>
                <w:sz w:val="18"/>
                <w:szCs w:val="18"/>
              </w:rPr>
              <w:t>目</w:t>
            </w:r>
          </w:p>
        </w:tc>
        <w:tc>
          <w:tcPr>
            <w:tcW w:w="1567" w:type="pct"/>
            <w:tcBorders>
              <w:top w:val="single" w:color="auto" w:sz="12" w:space="0"/>
              <w:bottom w:val="single" w:color="auto" w:sz="12" w:space="0"/>
              <w:right w:val="single" w:color="auto" w:sz="4"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本期发生额</w:t>
            </w:r>
          </w:p>
        </w:tc>
        <w:tc>
          <w:tcPr>
            <w:tcW w:w="1567" w:type="pct"/>
            <w:tcBorders>
              <w:top w:val="single" w:color="auto" w:sz="12"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上期发生额</w:t>
            </w:r>
          </w:p>
        </w:tc>
      </w:tr>
      <w:tr>
        <w:tblPrEx>
          <w:tblCellMar>
            <w:top w:w="0" w:type="dxa"/>
            <w:left w:w="30" w:type="dxa"/>
            <w:bottom w:w="0" w:type="dxa"/>
            <w:right w:w="30" w:type="dxa"/>
          </w:tblCellMar>
        </w:tblPrEx>
        <w:trPr>
          <w:trHeight w:val="454" w:hRule="atLeast"/>
        </w:trPr>
        <w:tc>
          <w:tcPr>
            <w:tcW w:w="1866" w:type="pct"/>
            <w:tcBorders>
              <w:top w:val="single" w:color="auto" w:sz="12" w:space="0"/>
              <w:bottom w:val="single" w:color="auto" w:sz="12" w:space="0"/>
              <w:right w:val="single" w:color="auto" w:sz="4" w:space="0"/>
            </w:tcBorders>
            <w:vAlign w:val="bottom"/>
          </w:tcPr>
          <w:p>
            <w:pPr>
              <w:widowControl/>
              <w:rPr>
                <w:color w:val="auto"/>
                <w:kern w:val="0"/>
                <w:sz w:val="18"/>
                <w:szCs w:val="18"/>
              </w:rPr>
            </w:pPr>
            <w:r>
              <w:rPr>
                <w:rFonts w:hint="eastAsia"/>
                <w:color w:val="auto"/>
                <w:sz w:val="18"/>
                <w:szCs w:val="18"/>
              </w:rPr>
              <w:t>股权</w:t>
            </w:r>
            <w:r>
              <w:rPr>
                <w:rFonts w:hint="eastAsia" w:ascii="宋体" w:cs="宋体"/>
                <w:color w:val="auto"/>
                <w:sz w:val="18"/>
                <w:szCs w:val="18"/>
              </w:rPr>
              <w:t>转让</w:t>
            </w:r>
            <w:r>
              <w:rPr>
                <w:rFonts w:hint="eastAsia"/>
                <w:color w:val="auto"/>
                <w:sz w:val="18"/>
                <w:szCs w:val="18"/>
              </w:rPr>
              <w:t>押金</w:t>
            </w:r>
          </w:p>
        </w:tc>
        <w:tc>
          <w:tcPr>
            <w:tcW w:w="1567" w:type="pct"/>
            <w:tcBorders>
              <w:top w:val="single" w:color="auto" w:sz="12"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      1</w:t>
            </w:r>
            <w:r>
              <w:rPr>
                <w:rFonts w:hint="eastAsia" w:ascii="宋体" w:hAnsi="宋体" w:cs="宋体"/>
                <w:color w:val="auto"/>
                <w:kern w:val="0"/>
                <w:sz w:val="18"/>
                <w:szCs w:val="18"/>
              </w:rPr>
              <w:t>0</w:t>
            </w:r>
            <w:r>
              <w:rPr>
                <w:rFonts w:ascii="宋体" w:hAnsi="宋体" w:cs="宋体"/>
                <w:color w:val="auto"/>
                <w:kern w:val="0"/>
                <w:sz w:val="18"/>
                <w:szCs w:val="18"/>
              </w:rPr>
              <w:t>,</w:t>
            </w:r>
            <w:r>
              <w:rPr>
                <w:rFonts w:hint="eastAsia" w:ascii="宋体" w:hAnsi="宋体" w:cs="宋体"/>
                <w:color w:val="auto"/>
                <w:kern w:val="0"/>
                <w:sz w:val="18"/>
                <w:szCs w:val="18"/>
              </w:rPr>
              <w:t>0</w:t>
            </w:r>
            <w:r>
              <w:rPr>
                <w:rFonts w:ascii="宋体" w:hAnsi="宋体" w:cs="宋体"/>
                <w:color w:val="auto"/>
                <w:kern w:val="0"/>
                <w:sz w:val="18"/>
                <w:szCs w:val="18"/>
              </w:rPr>
              <w:t xml:space="preserve">00,000.00 </w:t>
            </w:r>
          </w:p>
        </w:tc>
        <w:tc>
          <w:tcPr>
            <w:tcW w:w="1567" w:type="pct"/>
            <w:tcBorders>
              <w:top w:val="single" w:color="auto" w:sz="12" w:space="0"/>
              <w:bottom w:val="single" w:color="auto" w:sz="12" w:space="0"/>
            </w:tcBorders>
            <w:vAlign w:val="bottom"/>
          </w:tcPr>
          <w:p>
            <w:pPr>
              <w:jc w:val="right"/>
              <w:rPr>
                <w:rFonts w:cs="宋体" w:asciiTheme="majorEastAsia" w:hAnsiTheme="majorEastAsia" w:eastAsiaTheme="majorEastAsia"/>
                <w:color w:val="auto"/>
                <w:sz w:val="18"/>
                <w:szCs w:val="18"/>
              </w:rPr>
            </w:pPr>
          </w:p>
        </w:tc>
      </w:tr>
      <w:tr>
        <w:tblPrEx>
          <w:tblCellMar>
            <w:top w:w="0" w:type="dxa"/>
            <w:left w:w="30" w:type="dxa"/>
            <w:bottom w:w="0" w:type="dxa"/>
            <w:right w:w="30" w:type="dxa"/>
          </w:tblCellMar>
        </w:tblPrEx>
        <w:trPr>
          <w:trHeight w:val="454" w:hRule="atLeast"/>
        </w:trPr>
        <w:tc>
          <w:tcPr>
            <w:tcW w:w="1866" w:type="pct"/>
            <w:tcBorders>
              <w:top w:val="single" w:color="auto" w:sz="12" w:space="0"/>
              <w:bottom w:val="single" w:color="auto" w:sz="12" w:space="0"/>
              <w:right w:val="single" w:color="auto" w:sz="4" w:space="0"/>
            </w:tcBorders>
            <w:vAlign w:val="bottom"/>
          </w:tcPr>
          <w:p>
            <w:pPr>
              <w:jc w:val="center"/>
              <w:rPr>
                <w:rFonts w:ascii="宋体" w:cs="宋体"/>
                <w:b/>
                <w:color w:val="auto"/>
                <w:sz w:val="18"/>
                <w:szCs w:val="18"/>
              </w:rPr>
            </w:pPr>
            <w:r>
              <w:rPr>
                <w:rFonts w:hint="eastAsia" w:ascii="宋体" w:hAnsi="宋体"/>
                <w:b/>
                <w:bCs/>
                <w:color w:val="auto"/>
                <w:sz w:val="18"/>
                <w:szCs w:val="18"/>
              </w:rPr>
              <w:t>合计</w:t>
            </w:r>
          </w:p>
        </w:tc>
        <w:tc>
          <w:tcPr>
            <w:tcW w:w="1567" w:type="pct"/>
            <w:tcBorders>
              <w:top w:val="single" w:color="auto" w:sz="12" w:space="0"/>
              <w:bottom w:val="single" w:color="auto" w:sz="12" w:space="0"/>
              <w:right w:val="single" w:color="auto" w:sz="4" w:space="0"/>
            </w:tcBorders>
            <w:vAlign w:val="bottom"/>
          </w:tcPr>
          <w:p>
            <w:pPr>
              <w:autoSpaceDE w:val="0"/>
              <w:autoSpaceDN w:val="0"/>
              <w:adjustRightInd w:val="0"/>
              <w:jc w:val="right"/>
              <w:rPr>
                <w:rFonts w:ascii="宋体" w:hAnsi="宋体" w:cs="宋体"/>
                <w:b/>
                <w:color w:val="auto"/>
                <w:kern w:val="0"/>
                <w:sz w:val="18"/>
                <w:szCs w:val="18"/>
              </w:rPr>
            </w:pPr>
            <w:r>
              <w:rPr>
                <w:rFonts w:ascii="宋体" w:hAnsi="宋体" w:cs="宋体"/>
                <w:b/>
                <w:color w:val="auto"/>
                <w:kern w:val="0"/>
                <w:sz w:val="18"/>
                <w:szCs w:val="18"/>
              </w:rPr>
              <w:t xml:space="preserve">   10,000,000.00  </w:t>
            </w:r>
          </w:p>
        </w:tc>
        <w:tc>
          <w:tcPr>
            <w:tcW w:w="1567" w:type="pct"/>
            <w:tcBorders>
              <w:top w:val="single" w:color="auto" w:sz="12" w:space="0"/>
              <w:bottom w:val="single" w:color="auto" w:sz="12" w:space="0"/>
            </w:tcBorders>
            <w:vAlign w:val="bottom"/>
          </w:tcPr>
          <w:p>
            <w:pPr>
              <w:jc w:val="right"/>
              <w:rPr>
                <w:rFonts w:cs="宋体" w:asciiTheme="majorEastAsia" w:hAnsiTheme="majorEastAsia" w:eastAsiaTheme="majorEastAsia"/>
                <w:b/>
                <w:bCs/>
                <w:color w:val="auto"/>
                <w:sz w:val="18"/>
                <w:szCs w:val="18"/>
              </w:rPr>
            </w:pPr>
          </w:p>
        </w:tc>
      </w:tr>
    </w:tbl>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5</w:t>
      </w:r>
      <w:r>
        <w:rPr>
          <w:rFonts w:hint="eastAsia" w:ascii="宋体" w:hAnsi="宋体"/>
          <w:color w:val="auto"/>
          <w:szCs w:val="21"/>
        </w:rPr>
        <w:t>）收到其他与筹资活动有关的现金：</w:t>
      </w:r>
    </w:p>
    <w:tbl>
      <w:tblPr>
        <w:tblStyle w:val="9"/>
        <w:tblW w:w="4937" w:type="pct"/>
        <w:tblCaption w:val="&quot;\\lisheng\共享\1、伟隆2022年度审计\1、2022年度审计\1、附注及报告\2022年\附注计算-伟隆 - 2022.xlsx&quot; &quot;2022附注格式!_ReportTable_0093&quot;"/>
        <w:tblDescription w:val="A757:C759"/>
        <w:tblInd w:w="0" w:type="dxa"/>
        <w:tblLayout w:type="autofit"/>
        <w:tblCellMar>
          <w:top w:w="0" w:type="dxa"/>
          <w:left w:w="30" w:type="dxa"/>
          <w:bottom w:w="0" w:type="dxa"/>
          <w:right w:w="30" w:type="dxa"/>
        </w:tblCellMar>
      </w:tblPr>
      <w:tblGrid>
        <w:gridCol w:w="3573"/>
        <w:gridCol w:w="3001"/>
        <w:gridCol w:w="3001"/>
      </w:tblGrid>
      <w:tr>
        <w:tblPrEx>
          <w:tblCellMar>
            <w:top w:w="0" w:type="dxa"/>
            <w:left w:w="30" w:type="dxa"/>
            <w:bottom w:w="0" w:type="dxa"/>
            <w:right w:w="30" w:type="dxa"/>
          </w:tblCellMar>
        </w:tblPrEx>
        <w:trPr>
          <w:trHeight w:val="454" w:hRule="atLeast"/>
        </w:trPr>
        <w:tc>
          <w:tcPr>
            <w:tcW w:w="1866" w:type="pct"/>
            <w:tcBorders>
              <w:top w:val="single" w:color="auto" w:sz="12"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w:t>
            </w:r>
            <w:r>
              <w:rPr>
                <w:rFonts w:asciiTheme="minorEastAsia" w:hAnsiTheme="minorEastAsia" w:eastAsiaTheme="minorEastAsia"/>
                <w:b/>
                <w:bCs/>
                <w:color w:val="auto"/>
                <w:sz w:val="18"/>
                <w:szCs w:val="18"/>
              </w:rPr>
              <w:t xml:space="preserve">   目</w:t>
            </w:r>
          </w:p>
        </w:tc>
        <w:tc>
          <w:tcPr>
            <w:tcW w:w="1567" w:type="pct"/>
            <w:tcBorders>
              <w:top w:val="single" w:color="auto" w:sz="12" w:space="0"/>
              <w:bottom w:val="single" w:color="auto" w:sz="12" w:space="0"/>
              <w:right w:val="single" w:color="auto" w:sz="4"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本期发生额</w:t>
            </w:r>
          </w:p>
        </w:tc>
        <w:tc>
          <w:tcPr>
            <w:tcW w:w="1567" w:type="pct"/>
            <w:tcBorders>
              <w:top w:val="single" w:color="auto" w:sz="12"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上期发生额</w:t>
            </w:r>
          </w:p>
        </w:tc>
      </w:tr>
      <w:tr>
        <w:tblPrEx>
          <w:tblCellMar>
            <w:top w:w="0" w:type="dxa"/>
            <w:left w:w="30" w:type="dxa"/>
            <w:bottom w:w="0" w:type="dxa"/>
            <w:right w:w="30" w:type="dxa"/>
          </w:tblCellMar>
        </w:tblPrEx>
        <w:trPr>
          <w:trHeight w:val="454" w:hRule="atLeast"/>
        </w:trPr>
        <w:tc>
          <w:tcPr>
            <w:tcW w:w="1866" w:type="pct"/>
            <w:tcBorders>
              <w:top w:val="single" w:color="auto" w:sz="12" w:space="0"/>
              <w:bottom w:val="single" w:color="auto" w:sz="12" w:space="0"/>
              <w:right w:val="single" w:color="auto" w:sz="4" w:space="0"/>
            </w:tcBorders>
            <w:vAlign w:val="bottom"/>
          </w:tcPr>
          <w:p>
            <w:pPr>
              <w:rPr>
                <w:rFonts w:ascii="宋体" w:cs="宋体"/>
                <w:color w:val="auto"/>
                <w:sz w:val="18"/>
                <w:szCs w:val="18"/>
              </w:rPr>
            </w:pPr>
            <w:r>
              <w:rPr>
                <w:rFonts w:hint="eastAsia" w:ascii="宋体" w:cs="宋体"/>
                <w:color w:val="auto"/>
                <w:sz w:val="18"/>
                <w:szCs w:val="18"/>
              </w:rPr>
              <w:t>股权激励员工认缴款</w:t>
            </w:r>
          </w:p>
        </w:tc>
        <w:tc>
          <w:tcPr>
            <w:tcW w:w="1567" w:type="pct"/>
            <w:tcBorders>
              <w:top w:val="single" w:color="auto" w:sz="12"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1,988,460.90</w:t>
            </w:r>
          </w:p>
        </w:tc>
        <w:tc>
          <w:tcPr>
            <w:tcW w:w="1567" w:type="pct"/>
            <w:tcBorders>
              <w:top w:val="single" w:color="auto" w:sz="12" w:space="0"/>
              <w:bottom w:val="single" w:color="auto" w:sz="12" w:space="0"/>
            </w:tcBorders>
            <w:vAlign w:val="bottom"/>
          </w:tcPr>
          <w:p>
            <w:pPr>
              <w:jc w:val="right"/>
              <w:rPr>
                <w:rFonts w:cs="宋体" w:asciiTheme="majorEastAsia" w:hAnsiTheme="majorEastAsia" w:eastAsiaTheme="majorEastAsia"/>
                <w:color w:val="auto"/>
                <w:sz w:val="18"/>
                <w:szCs w:val="18"/>
              </w:rPr>
            </w:pPr>
            <w:r>
              <w:rPr>
                <w:rFonts w:ascii="宋体" w:hAnsi="宋体" w:cs="宋体"/>
                <w:color w:val="auto"/>
                <w:kern w:val="0"/>
                <w:sz w:val="18"/>
                <w:szCs w:val="18"/>
              </w:rPr>
              <w:t xml:space="preserve">      13,600,000.00 </w:t>
            </w:r>
          </w:p>
        </w:tc>
      </w:tr>
      <w:tr>
        <w:tblPrEx>
          <w:tblCellMar>
            <w:top w:w="0" w:type="dxa"/>
            <w:left w:w="30" w:type="dxa"/>
            <w:bottom w:w="0" w:type="dxa"/>
            <w:right w:w="30" w:type="dxa"/>
          </w:tblCellMar>
        </w:tblPrEx>
        <w:trPr>
          <w:trHeight w:val="454" w:hRule="atLeast"/>
        </w:trPr>
        <w:tc>
          <w:tcPr>
            <w:tcW w:w="1866" w:type="pct"/>
            <w:tcBorders>
              <w:top w:val="single" w:color="auto" w:sz="12" w:space="0"/>
              <w:bottom w:val="single" w:color="auto" w:sz="12" w:space="0"/>
              <w:right w:val="single" w:color="auto" w:sz="4" w:space="0"/>
            </w:tcBorders>
            <w:vAlign w:val="bottom"/>
          </w:tcPr>
          <w:p>
            <w:pPr>
              <w:jc w:val="center"/>
              <w:rPr>
                <w:rFonts w:ascii="宋体" w:cs="宋体"/>
                <w:b/>
                <w:color w:val="auto"/>
                <w:sz w:val="18"/>
                <w:szCs w:val="18"/>
              </w:rPr>
            </w:pPr>
            <w:r>
              <w:rPr>
                <w:rFonts w:hint="eastAsia" w:ascii="宋体" w:hAnsi="宋体"/>
                <w:b/>
                <w:bCs/>
                <w:color w:val="auto"/>
                <w:sz w:val="18"/>
                <w:szCs w:val="18"/>
              </w:rPr>
              <w:t>合计</w:t>
            </w:r>
          </w:p>
        </w:tc>
        <w:tc>
          <w:tcPr>
            <w:tcW w:w="1567" w:type="pct"/>
            <w:tcBorders>
              <w:top w:val="single" w:color="auto" w:sz="12" w:space="0"/>
              <w:bottom w:val="single" w:color="auto" w:sz="12"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1,988,460.90</w:t>
            </w:r>
          </w:p>
        </w:tc>
        <w:tc>
          <w:tcPr>
            <w:tcW w:w="1567" w:type="pct"/>
            <w:tcBorders>
              <w:top w:val="single" w:color="auto" w:sz="12" w:space="0"/>
              <w:bottom w:val="single" w:color="auto" w:sz="12" w:space="0"/>
            </w:tcBorders>
            <w:vAlign w:val="bottom"/>
          </w:tcPr>
          <w:p>
            <w:pPr>
              <w:jc w:val="right"/>
              <w:rPr>
                <w:rFonts w:cs="宋体" w:asciiTheme="majorEastAsia" w:hAnsiTheme="majorEastAsia" w:eastAsiaTheme="majorEastAsia"/>
                <w:b/>
                <w:bCs/>
                <w:color w:val="auto"/>
                <w:sz w:val="18"/>
                <w:szCs w:val="18"/>
              </w:rPr>
            </w:pPr>
            <w:r>
              <w:rPr>
                <w:rFonts w:ascii="宋体" w:hAnsi="宋体" w:cs="宋体"/>
                <w:b/>
                <w:bCs/>
                <w:color w:val="auto"/>
                <w:kern w:val="0"/>
                <w:sz w:val="18"/>
                <w:szCs w:val="18"/>
              </w:rPr>
              <w:t xml:space="preserve">    13,600,000.00 </w:t>
            </w:r>
          </w:p>
        </w:tc>
      </w:tr>
    </w:tbl>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6</w:t>
      </w:r>
      <w:r>
        <w:rPr>
          <w:rFonts w:hint="eastAsia" w:ascii="宋体" w:hAnsi="宋体"/>
          <w:color w:val="auto"/>
          <w:szCs w:val="21"/>
        </w:rPr>
        <w:t>）支付其他与筹资活动有关的现金：</w:t>
      </w:r>
    </w:p>
    <w:tbl>
      <w:tblPr>
        <w:tblStyle w:val="9"/>
        <w:tblW w:w="4937" w:type="pct"/>
        <w:tblCaption w:val="&quot;\\lisheng\共享\1、伟隆2022年度审计\1、2022年度审计\1、附注及报告\2022年\附注计算-伟隆 - 2022.xlsx&quot; &quot;2022附注格式!_ReportTable_0094&quot;"/>
        <w:tblDescription w:val="A761:C763"/>
        <w:tblInd w:w="0" w:type="dxa"/>
        <w:tblLayout w:type="autofit"/>
        <w:tblCellMar>
          <w:top w:w="0" w:type="dxa"/>
          <w:left w:w="30" w:type="dxa"/>
          <w:bottom w:w="0" w:type="dxa"/>
          <w:right w:w="30" w:type="dxa"/>
        </w:tblCellMar>
      </w:tblPr>
      <w:tblGrid>
        <w:gridCol w:w="3573"/>
        <w:gridCol w:w="3001"/>
        <w:gridCol w:w="3001"/>
      </w:tblGrid>
      <w:tr>
        <w:tblPrEx>
          <w:tblCellMar>
            <w:top w:w="0" w:type="dxa"/>
            <w:left w:w="30" w:type="dxa"/>
            <w:bottom w:w="0" w:type="dxa"/>
            <w:right w:w="30" w:type="dxa"/>
          </w:tblCellMar>
        </w:tblPrEx>
        <w:trPr>
          <w:trHeight w:val="454" w:hRule="atLeast"/>
        </w:trPr>
        <w:tc>
          <w:tcPr>
            <w:tcW w:w="1866" w:type="pct"/>
            <w:tcBorders>
              <w:top w:val="single" w:color="auto" w:sz="12"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w:t>
            </w:r>
            <w:r>
              <w:rPr>
                <w:rFonts w:asciiTheme="minorEastAsia" w:hAnsiTheme="minorEastAsia" w:eastAsiaTheme="minorEastAsia"/>
                <w:b/>
                <w:bCs/>
                <w:color w:val="auto"/>
                <w:sz w:val="18"/>
                <w:szCs w:val="18"/>
              </w:rPr>
              <w:t xml:space="preserve">   目</w:t>
            </w:r>
          </w:p>
        </w:tc>
        <w:tc>
          <w:tcPr>
            <w:tcW w:w="1567" w:type="pct"/>
            <w:tcBorders>
              <w:top w:val="single" w:color="auto" w:sz="12" w:space="0"/>
              <w:bottom w:val="single" w:color="auto" w:sz="12" w:space="0"/>
              <w:right w:val="single" w:color="auto" w:sz="4"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本期发生额</w:t>
            </w:r>
          </w:p>
        </w:tc>
        <w:tc>
          <w:tcPr>
            <w:tcW w:w="1567" w:type="pct"/>
            <w:tcBorders>
              <w:top w:val="single" w:color="auto" w:sz="12"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上期发生额</w:t>
            </w:r>
          </w:p>
        </w:tc>
      </w:tr>
      <w:tr>
        <w:tblPrEx>
          <w:tblCellMar>
            <w:top w:w="0" w:type="dxa"/>
            <w:left w:w="30" w:type="dxa"/>
            <w:bottom w:w="0" w:type="dxa"/>
            <w:right w:w="30" w:type="dxa"/>
          </w:tblCellMar>
        </w:tblPrEx>
        <w:trPr>
          <w:trHeight w:val="454" w:hRule="atLeast"/>
        </w:trPr>
        <w:tc>
          <w:tcPr>
            <w:tcW w:w="1866" w:type="pct"/>
            <w:tcBorders>
              <w:top w:val="single" w:color="auto" w:sz="4" w:space="0"/>
              <w:bottom w:val="single" w:color="auto" w:sz="4" w:space="0"/>
              <w:right w:val="single" w:color="auto" w:sz="4" w:space="0"/>
            </w:tcBorders>
            <w:vAlign w:val="bottom"/>
          </w:tcPr>
          <w:p>
            <w:pPr>
              <w:rPr>
                <w:rFonts w:ascii="宋体" w:cs="宋体"/>
                <w:color w:val="auto"/>
                <w:sz w:val="18"/>
                <w:szCs w:val="18"/>
              </w:rPr>
            </w:pPr>
            <w:r>
              <w:rPr>
                <w:rFonts w:hint="eastAsia" w:ascii="宋体" w:cs="宋体"/>
                <w:color w:val="auto"/>
                <w:sz w:val="18"/>
                <w:szCs w:val="18"/>
              </w:rPr>
              <w:t>股权激励回购款</w:t>
            </w:r>
          </w:p>
        </w:tc>
        <w:tc>
          <w:tcPr>
            <w:tcW w:w="1567" w:type="pct"/>
            <w:tcBorders>
              <w:top w:val="single" w:color="auto" w:sz="12"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723,075.00</w:t>
            </w:r>
          </w:p>
        </w:tc>
        <w:tc>
          <w:tcPr>
            <w:tcW w:w="1567"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ascii="宋体" w:hAnsi="宋体" w:cs="宋体"/>
                <w:color w:val="auto"/>
                <w:kern w:val="0"/>
                <w:sz w:val="18"/>
                <w:szCs w:val="18"/>
              </w:rPr>
              <w:t xml:space="preserve">      30,850,226.80 </w:t>
            </w:r>
          </w:p>
        </w:tc>
      </w:tr>
      <w:tr>
        <w:tblPrEx>
          <w:tblCellMar>
            <w:top w:w="0" w:type="dxa"/>
            <w:left w:w="30" w:type="dxa"/>
            <w:bottom w:w="0" w:type="dxa"/>
            <w:right w:w="30" w:type="dxa"/>
          </w:tblCellMar>
        </w:tblPrEx>
        <w:trPr>
          <w:trHeight w:val="454" w:hRule="atLeast"/>
        </w:trPr>
        <w:tc>
          <w:tcPr>
            <w:tcW w:w="1866" w:type="pct"/>
            <w:tcBorders>
              <w:top w:val="single" w:color="auto" w:sz="12" w:space="0"/>
              <w:bottom w:val="single" w:color="auto" w:sz="12" w:space="0"/>
              <w:right w:val="single" w:color="auto" w:sz="4" w:space="0"/>
            </w:tcBorders>
            <w:vAlign w:val="bottom"/>
          </w:tcPr>
          <w:p>
            <w:pPr>
              <w:jc w:val="center"/>
              <w:rPr>
                <w:rFonts w:ascii="宋体" w:cs="宋体"/>
                <w:b/>
                <w:color w:val="auto"/>
                <w:sz w:val="18"/>
                <w:szCs w:val="18"/>
              </w:rPr>
            </w:pPr>
            <w:r>
              <w:rPr>
                <w:rFonts w:hint="eastAsia" w:ascii="宋体" w:hAnsi="宋体"/>
                <w:b/>
                <w:bCs/>
                <w:color w:val="auto"/>
                <w:sz w:val="18"/>
                <w:szCs w:val="18"/>
              </w:rPr>
              <w:t>合计</w:t>
            </w:r>
          </w:p>
        </w:tc>
        <w:tc>
          <w:tcPr>
            <w:tcW w:w="1567" w:type="pct"/>
            <w:tcBorders>
              <w:top w:val="single" w:color="auto" w:sz="12" w:space="0"/>
              <w:bottom w:val="single" w:color="auto" w:sz="12"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723,075.00</w:t>
            </w:r>
          </w:p>
        </w:tc>
        <w:tc>
          <w:tcPr>
            <w:tcW w:w="1567" w:type="pct"/>
            <w:tcBorders>
              <w:top w:val="single" w:color="auto" w:sz="12" w:space="0"/>
              <w:bottom w:val="single" w:color="auto" w:sz="12" w:space="0"/>
            </w:tcBorders>
            <w:vAlign w:val="bottom"/>
          </w:tcPr>
          <w:p>
            <w:pPr>
              <w:jc w:val="right"/>
              <w:rPr>
                <w:rFonts w:cs="宋体" w:asciiTheme="majorEastAsia" w:hAnsiTheme="majorEastAsia" w:eastAsiaTheme="majorEastAsia"/>
                <w:b/>
                <w:bCs/>
                <w:color w:val="auto"/>
                <w:sz w:val="18"/>
                <w:szCs w:val="18"/>
              </w:rPr>
            </w:pPr>
            <w:r>
              <w:rPr>
                <w:rFonts w:ascii="宋体" w:hAnsi="宋体" w:cs="宋体"/>
                <w:b/>
                <w:bCs/>
                <w:color w:val="auto"/>
                <w:kern w:val="0"/>
                <w:sz w:val="18"/>
                <w:szCs w:val="18"/>
              </w:rPr>
              <w:t xml:space="preserve">    30,850,226.80 </w:t>
            </w: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50、现金流量表补充资料</w:t>
      </w:r>
    </w:p>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）将净利润调节为经营活动现金流量的信息：</w:t>
      </w:r>
    </w:p>
    <w:tbl>
      <w:tblPr>
        <w:tblStyle w:val="9"/>
        <w:tblW w:w="4914" w:type="pct"/>
        <w:tblCaption w:val="&quot;\\lisheng\共享\1、伟隆2022年度审计\1、2022年度审计\1、附注及报告\2022年\附注计算-伟隆 - 2022.xlsx&quot; &quot;2022附注格式!_ReportTable_0095&quot;"/>
        <w:tblDescription w:val="A766:C795"/>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04"/>
        <w:gridCol w:w="2690"/>
        <w:gridCol w:w="26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top w:val="single" w:color="auto" w:sz="12" w:space="0"/>
              <w:bottom w:val="single" w:color="auto" w:sz="12" w:space="0"/>
            </w:tcBorders>
            <w:vAlign w:val="center"/>
          </w:tcPr>
          <w:p>
            <w:pPr>
              <w:widowControl/>
              <w:jc w:val="center"/>
              <w:rPr>
                <w:rFonts w:ascii="宋体" w:cs="宋体"/>
                <w:b/>
                <w:color w:val="auto"/>
                <w:kern w:val="0"/>
                <w:sz w:val="18"/>
                <w:szCs w:val="18"/>
              </w:rPr>
            </w:pPr>
            <w:r>
              <w:rPr>
                <w:rFonts w:hint="eastAsia" w:ascii="宋体" w:hAnsi="宋体" w:cs="宋体"/>
                <w:b/>
                <w:color w:val="auto"/>
                <w:kern w:val="0"/>
                <w:sz w:val="18"/>
                <w:szCs w:val="18"/>
              </w:rPr>
              <w:t>补充资料</w:t>
            </w:r>
          </w:p>
        </w:tc>
        <w:tc>
          <w:tcPr>
            <w:tcW w:w="1389" w:type="pct"/>
            <w:tcBorders>
              <w:top w:val="single" w:color="auto" w:sz="12" w:space="0"/>
              <w:bottom w:val="single" w:color="auto" w:sz="12"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本期发生额</w:t>
            </w:r>
          </w:p>
        </w:tc>
        <w:tc>
          <w:tcPr>
            <w:tcW w:w="1389" w:type="pct"/>
            <w:tcBorders>
              <w:top w:val="single" w:color="auto" w:sz="12"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上期发生额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22" w:type="pct"/>
            <w:tcBorders>
              <w:top w:val="single" w:color="auto" w:sz="12" w:space="0"/>
            </w:tcBorders>
            <w:vAlign w:val="bottom"/>
          </w:tcPr>
          <w:p>
            <w:pPr>
              <w:widowControl/>
              <w:rPr>
                <w:rFonts w:ascii="宋体" w:cs="宋体"/>
                <w:color w:val="auto"/>
                <w:kern w:val="0"/>
                <w:sz w:val="18"/>
                <w:szCs w:val="18"/>
              </w:rPr>
            </w:pPr>
            <w:r>
              <w:rPr>
                <w:rFonts w:ascii="宋体" w:hAnsi="宋体" w:cs="宋体"/>
                <w:color w:val="auto"/>
                <w:kern w:val="0"/>
                <w:sz w:val="18"/>
                <w:szCs w:val="18"/>
              </w:rPr>
              <w:t>1.将净利润调节为经营活动现金流量：</w:t>
            </w:r>
          </w:p>
        </w:tc>
        <w:tc>
          <w:tcPr>
            <w:tcW w:w="1389" w:type="pct"/>
            <w:tcBorders>
              <w:top w:val="single" w:color="auto" w:sz="12" w:space="0"/>
            </w:tcBorders>
            <w:vAlign w:val="bottom"/>
          </w:tcPr>
          <w:p>
            <w:pPr>
              <w:jc w:val="right"/>
              <w:rPr>
                <w:rFonts w:cs="宋体" w:asciiTheme="majorEastAsia" w:hAnsiTheme="majorEastAsia" w:eastAsiaTheme="majorEastAsia"/>
                <w:color w:val="auto"/>
                <w:sz w:val="18"/>
                <w:szCs w:val="18"/>
              </w:rPr>
            </w:pPr>
          </w:p>
        </w:tc>
        <w:tc>
          <w:tcPr>
            <w:tcW w:w="1389" w:type="pct"/>
            <w:tcBorders>
              <w:top w:val="single" w:color="auto" w:sz="12" w:space="0"/>
            </w:tcBorders>
            <w:vAlign w:val="bottom"/>
          </w:tcPr>
          <w:p>
            <w:pPr>
              <w:jc w:val="right"/>
              <w:rPr>
                <w:rFonts w:cs="宋体" w:asciiTheme="minorEastAsia" w:hAnsiTheme="minorEastAsia" w:eastAsiaTheme="minorEastAsia"/>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22" w:type="pct"/>
            <w:vAlign w:val="bottom"/>
          </w:tcPr>
          <w:p>
            <w:pPr>
              <w:widowControl/>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净利润</w:t>
            </w:r>
          </w:p>
        </w:tc>
        <w:tc>
          <w:tcPr>
            <w:tcW w:w="1389"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133,627,050.93 </w:t>
            </w:r>
          </w:p>
        </w:tc>
        <w:tc>
          <w:tcPr>
            <w:tcW w:w="1389"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60,993,488.79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bottom w:val="single" w:color="auto" w:sz="4" w:space="0"/>
            </w:tcBorders>
            <w:vAlign w:val="bottom"/>
          </w:tcPr>
          <w:p>
            <w:pPr>
              <w:widowControl/>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加：资产减值准备</w:t>
            </w:r>
          </w:p>
        </w:tc>
        <w:tc>
          <w:tcPr>
            <w:tcW w:w="1389" w:type="pct"/>
            <w:tcBorders>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3,749,764.52 </w:t>
            </w:r>
          </w:p>
        </w:tc>
        <w:tc>
          <w:tcPr>
            <w:tcW w:w="1389" w:type="pct"/>
            <w:tcBorders>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4,758,012.79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top w:val="single" w:color="auto" w:sz="4" w:space="0"/>
              <w:bottom w:val="single" w:color="auto" w:sz="4" w:space="0"/>
            </w:tcBorders>
            <w:vAlign w:val="bottom"/>
          </w:tcPr>
          <w:p>
            <w:pPr>
              <w:widowControl/>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固定资产折旧、油气资产折耗、生产性生物资产折旧</w:t>
            </w:r>
          </w:p>
        </w:tc>
        <w:tc>
          <w:tcPr>
            <w:tcW w:w="1389"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24,196,057.51 </w:t>
            </w:r>
          </w:p>
        </w:tc>
        <w:tc>
          <w:tcPr>
            <w:tcW w:w="1389"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22,405,184.83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top w:val="single" w:color="auto" w:sz="4" w:space="0"/>
            </w:tcBorders>
            <w:vAlign w:val="bottom"/>
          </w:tcPr>
          <w:p>
            <w:pPr>
              <w:widowControl/>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使用权资产折旧摊销</w:t>
            </w:r>
          </w:p>
        </w:tc>
        <w:tc>
          <w:tcPr>
            <w:tcW w:w="1389" w:type="pct"/>
            <w:tcBorders>
              <w:top w:val="single" w:color="auto" w:sz="4" w:space="0"/>
            </w:tcBorders>
            <w:vAlign w:val="bottom"/>
          </w:tcPr>
          <w:p>
            <w:pPr>
              <w:jc w:val="righ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1389" w:type="pct"/>
            <w:tcBorders>
              <w:top w:val="single" w:color="auto" w:sz="4" w:space="0"/>
            </w:tcBorders>
            <w:vAlign w:val="bottom"/>
          </w:tcPr>
          <w:p>
            <w:pPr>
              <w:jc w:val="right"/>
              <w:rPr>
                <w:rFonts w:asciiTheme="minorEastAsia" w:hAnsiTheme="minorEastAsia" w:eastAsiaTheme="minorEastAsia"/>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top w:val="single" w:color="auto" w:sz="4" w:space="0"/>
            </w:tcBorders>
            <w:vAlign w:val="bottom"/>
          </w:tcPr>
          <w:p>
            <w:pPr>
              <w:widowControl/>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无形资产摊销</w:t>
            </w:r>
          </w:p>
        </w:tc>
        <w:tc>
          <w:tcPr>
            <w:tcW w:w="1389" w:type="pct"/>
            <w:tcBorders>
              <w:top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1,104,523.63 </w:t>
            </w:r>
          </w:p>
        </w:tc>
        <w:tc>
          <w:tcPr>
            <w:tcW w:w="1389" w:type="pct"/>
            <w:tcBorders>
              <w:top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1,097,385.87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bottom w:val="single" w:color="auto" w:sz="4" w:space="0"/>
            </w:tcBorders>
            <w:vAlign w:val="bottom"/>
          </w:tcPr>
          <w:p>
            <w:pPr>
              <w:widowControl/>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长期待摊费用摊销</w:t>
            </w:r>
          </w:p>
        </w:tc>
        <w:tc>
          <w:tcPr>
            <w:tcW w:w="1389" w:type="pct"/>
            <w:tcBorders>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242,929.50 </w:t>
            </w:r>
          </w:p>
        </w:tc>
        <w:tc>
          <w:tcPr>
            <w:tcW w:w="1389" w:type="pct"/>
            <w:tcBorders>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106,589.30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top w:val="single" w:color="auto" w:sz="4" w:space="0"/>
              <w:bottom w:val="single" w:color="auto" w:sz="4" w:space="0"/>
            </w:tcBorders>
            <w:vAlign w:val="bottom"/>
          </w:tcPr>
          <w:p>
            <w:pPr>
              <w:widowControl/>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处置固定资产、无形资产和其他长期资产的损失（收益以“</w:t>
            </w:r>
            <w:r>
              <w:rPr>
                <w:rFonts w:cs="宋体" w:asciiTheme="minorEastAsia" w:hAnsiTheme="minorEastAsia" w:eastAsiaTheme="minorEastAsia"/>
                <w:color w:val="auto"/>
                <w:kern w:val="0"/>
                <w:sz w:val="18"/>
                <w:szCs w:val="18"/>
              </w:rPr>
              <w:t>-”号填列）</w:t>
            </w:r>
          </w:p>
        </w:tc>
        <w:tc>
          <w:tcPr>
            <w:tcW w:w="1389"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-41,113.72 </w:t>
            </w:r>
          </w:p>
        </w:tc>
        <w:tc>
          <w:tcPr>
            <w:tcW w:w="1389"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-144,039.41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top w:val="single" w:color="auto" w:sz="4" w:space="0"/>
            </w:tcBorders>
            <w:vAlign w:val="bottom"/>
          </w:tcPr>
          <w:p>
            <w:pPr>
              <w:widowControl/>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固定资产报废损失（收益以“</w:t>
            </w:r>
            <w:r>
              <w:rPr>
                <w:rFonts w:cs="宋体" w:asciiTheme="minorEastAsia" w:hAnsiTheme="minorEastAsia" w:eastAsiaTheme="minorEastAsia"/>
                <w:color w:val="auto"/>
                <w:kern w:val="0"/>
                <w:sz w:val="18"/>
                <w:szCs w:val="18"/>
              </w:rPr>
              <w:t>-”号填列）</w:t>
            </w:r>
          </w:p>
        </w:tc>
        <w:tc>
          <w:tcPr>
            <w:tcW w:w="1389" w:type="pct"/>
            <w:tcBorders>
              <w:top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307,074.18 </w:t>
            </w:r>
          </w:p>
        </w:tc>
        <w:tc>
          <w:tcPr>
            <w:tcW w:w="1389" w:type="pct"/>
            <w:tcBorders>
              <w:top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-379,332.32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bottom w:val="single" w:color="auto" w:sz="4" w:space="0"/>
            </w:tcBorders>
            <w:vAlign w:val="bottom"/>
          </w:tcPr>
          <w:p>
            <w:pPr>
              <w:widowControl/>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公允价值变动损失（收益以“</w:t>
            </w:r>
            <w:r>
              <w:rPr>
                <w:rFonts w:cs="宋体" w:asciiTheme="minorEastAsia" w:hAnsiTheme="minorEastAsia" w:eastAsiaTheme="minorEastAsia"/>
                <w:color w:val="auto"/>
                <w:kern w:val="0"/>
                <w:sz w:val="18"/>
                <w:szCs w:val="18"/>
              </w:rPr>
              <w:t>-”号填列）</w:t>
            </w:r>
          </w:p>
        </w:tc>
        <w:tc>
          <w:tcPr>
            <w:tcW w:w="1389" w:type="pct"/>
            <w:tcBorders>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8,382,050.30 </w:t>
            </w:r>
          </w:p>
        </w:tc>
        <w:tc>
          <w:tcPr>
            <w:tcW w:w="1389" w:type="pct"/>
            <w:tcBorders>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3,366,653.30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top w:val="single" w:color="auto" w:sz="4" w:space="0"/>
              <w:bottom w:val="single" w:color="auto" w:sz="4" w:space="0"/>
            </w:tcBorders>
            <w:vAlign w:val="bottom"/>
          </w:tcPr>
          <w:p>
            <w:pPr>
              <w:widowControl/>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财务费用（收益以“</w:t>
            </w:r>
            <w:r>
              <w:rPr>
                <w:rFonts w:cs="宋体" w:asciiTheme="minorEastAsia" w:hAnsiTheme="minorEastAsia" w:eastAsiaTheme="minorEastAsia"/>
                <w:color w:val="auto"/>
                <w:kern w:val="0"/>
                <w:sz w:val="18"/>
                <w:szCs w:val="18"/>
              </w:rPr>
              <w:t>-”号填列）</w:t>
            </w:r>
          </w:p>
        </w:tc>
        <w:tc>
          <w:tcPr>
            <w:tcW w:w="1389"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-1,159,041.52 </w:t>
            </w:r>
          </w:p>
        </w:tc>
        <w:tc>
          <w:tcPr>
            <w:tcW w:w="1389"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1,186,429.58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top w:val="single" w:color="auto" w:sz="4" w:space="0"/>
            </w:tcBorders>
            <w:vAlign w:val="bottom"/>
          </w:tcPr>
          <w:p>
            <w:pPr>
              <w:widowControl/>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投资损失（收益以“</w:t>
            </w:r>
            <w:r>
              <w:rPr>
                <w:rFonts w:cs="宋体" w:asciiTheme="minorEastAsia" w:hAnsiTheme="minorEastAsia" w:eastAsiaTheme="minorEastAsia"/>
                <w:color w:val="auto"/>
                <w:kern w:val="0"/>
                <w:sz w:val="18"/>
                <w:szCs w:val="18"/>
              </w:rPr>
              <w:t>-”号填列）</w:t>
            </w:r>
          </w:p>
        </w:tc>
        <w:tc>
          <w:tcPr>
            <w:tcW w:w="1389" w:type="pct"/>
            <w:tcBorders>
              <w:top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-49,325,674.62 </w:t>
            </w:r>
          </w:p>
        </w:tc>
        <w:tc>
          <w:tcPr>
            <w:tcW w:w="1389" w:type="pct"/>
            <w:tcBorders>
              <w:top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-15,915,730.99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bottom w:val="single" w:color="auto" w:sz="4" w:space="0"/>
            </w:tcBorders>
            <w:vAlign w:val="bottom"/>
          </w:tcPr>
          <w:p>
            <w:pPr>
              <w:widowControl/>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递延所得税资产减少（增加以“</w:t>
            </w:r>
            <w:r>
              <w:rPr>
                <w:rFonts w:cs="宋体" w:asciiTheme="minorEastAsia" w:hAnsiTheme="minorEastAsia" w:eastAsiaTheme="minorEastAsia"/>
                <w:color w:val="auto"/>
                <w:kern w:val="0"/>
                <w:sz w:val="18"/>
                <w:szCs w:val="18"/>
              </w:rPr>
              <w:t>-”号填列）</w:t>
            </w:r>
          </w:p>
        </w:tc>
        <w:tc>
          <w:tcPr>
            <w:tcW w:w="1389" w:type="pct"/>
            <w:tcBorders>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382,203.02 </w:t>
            </w:r>
          </w:p>
        </w:tc>
        <w:tc>
          <w:tcPr>
            <w:tcW w:w="1389" w:type="pct"/>
            <w:tcBorders>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-2,748,930.00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top w:val="single" w:color="auto" w:sz="4" w:space="0"/>
              <w:bottom w:val="single" w:color="auto" w:sz="4" w:space="0"/>
            </w:tcBorders>
            <w:vAlign w:val="bottom"/>
          </w:tcPr>
          <w:p>
            <w:pPr>
              <w:widowControl/>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递延所得税负债增加（减少以“</w:t>
            </w:r>
            <w:r>
              <w:rPr>
                <w:rFonts w:cs="宋体" w:asciiTheme="minorEastAsia" w:hAnsiTheme="minorEastAsia" w:eastAsiaTheme="minorEastAsia"/>
                <w:color w:val="auto"/>
                <w:kern w:val="0"/>
                <w:sz w:val="18"/>
                <w:szCs w:val="18"/>
              </w:rPr>
              <w:t>-”号填列）</w:t>
            </w:r>
          </w:p>
        </w:tc>
        <w:tc>
          <w:tcPr>
            <w:tcW w:w="1389"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-671,629.84 </w:t>
            </w:r>
          </w:p>
        </w:tc>
        <w:tc>
          <w:tcPr>
            <w:tcW w:w="1389"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-478,641.06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top w:val="single" w:color="auto" w:sz="4" w:space="0"/>
              <w:bottom w:val="single" w:color="auto" w:sz="4" w:space="0"/>
            </w:tcBorders>
            <w:vAlign w:val="bottom"/>
          </w:tcPr>
          <w:p>
            <w:pPr>
              <w:widowControl/>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存货的减少（增加以“</w:t>
            </w:r>
            <w:r>
              <w:rPr>
                <w:rFonts w:cs="宋体" w:asciiTheme="minorEastAsia" w:hAnsiTheme="minorEastAsia" w:eastAsiaTheme="minorEastAsia"/>
                <w:color w:val="auto"/>
                <w:kern w:val="0"/>
                <w:sz w:val="18"/>
                <w:szCs w:val="18"/>
              </w:rPr>
              <w:t>-”号填列）</w:t>
            </w:r>
          </w:p>
        </w:tc>
        <w:tc>
          <w:tcPr>
            <w:tcW w:w="1389"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-8,932,624.98 </w:t>
            </w:r>
          </w:p>
        </w:tc>
        <w:tc>
          <w:tcPr>
            <w:tcW w:w="1389"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-40,643,668.67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top w:val="single" w:color="auto" w:sz="4" w:space="0"/>
            </w:tcBorders>
            <w:vAlign w:val="bottom"/>
          </w:tcPr>
          <w:p>
            <w:pPr>
              <w:widowControl/>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经营性应收项目的减少（增加以“</w:t>
            </w:r>
            <w:r>
              <w:rPr>
                <w:rFonts w:cs="宋体" w:asciiTheme="minorEastAsia" w:hAnsiTheme="minorEastAsia" w:eastAsiaTheme="minorEastAsia"/>
                <w:color w:val="auto"/>
                <w:kern w:val="0"/>
                <w:sz w:val="18"/>
                <w:szCs w:val="18"/>
              </w:rPr>
              <w:t>-”号填列）</w:t>
            </w:r>
          </w:p>
        </w:tc>
        <w:tc>
          <w:tcPr>
            <w:tcW w:w="1389" w:type="pct"/>
            <w:tcBorders>
              <w:top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-4,483,593.02 </w:t>
            </w:r>
          </w:p>
        </w:tc>
        <w:tc>
          <w:tcPr>
            <w:tcW w:w="1389" w:type="pct"/>
            <w:tcBorders>
              <w:top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-36,252,379.22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vAlign w:val="bottom"/>
          </w:tcPr>
          <w:p>
            <w:pPr>
              <w:widowControl/>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经营性应付项目的增加（减少以“</w:t>
            </w:r>
            <w:r>
              <w:rPr>
                <w:rFonts w:cs="宋体" w:asciiTheme="minorEastAsia" w:hAnsiTheme="minorEastAsia" w:eastAsiaTheme="minorEastAsia"/>
                <w:color w:val="auto"/>
                <w:kern w:val="0"/>
                <w:sz w:val="18"/>
                <w:szCs w:val="18"/>
              </w:rPr>
              <w:t>-”号填列）</w:t>
            </w:r>
          </w:p>
        </w:tc>
        <w:tc>
          <w:tcPr>
            <w:tcW w:w="1389"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27,329,890.89 </w:t>
            </w:r>
          </w:p>
        </w:tc>
        <w:tc>
          <w:tcPr>
            <w:tcW w:w="1389"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14,036,306.72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vAlign w:val="bottom"/>
          </w:tcPr>
          <w:p>
            <w:pPr>
              <w:widowControl/>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其他</w:t>
            </w:r>
          </w:p>
        </w:tc>
        <w:tc>
          <w:tcPr>
            <w:tcW w:w="1389" w:type="pct"/>
            <w:vAlign w:val="bottom"/>
          </w:tcPr>
          <w:p>
            <w:pPr>
              <w:jc w:val="right"/>
              <w:rPr>
                <w:rFonts w:cs="宋体" w:asciiTheme="minorEastAsia" w:hAnsiTheme="minorEastAsia" w:eastAsiaTheme="minorEastAsia"/>
                <w:color w:val="auto"/>
                <w:sz w:val="18"/>
                <w:szCs w:val="18"/>
              </w:rPr>
            </w:pPr>
          </w:p>
        </w:tc>
        <w:tc>
          <w:tcPr>
            <w:tcW w:w="1389" w:type="pct"/>
            <w:vAlign w:val="bottom"/>
          </w:tcPr>
          <w:p>
            <w:pPr>
              <w:jc w:val="right"/>
              <w:rPr>
                <w:rFonts w:cs="宋体" w:asciiTheme="minorEastAsia" w:hAnsiTheme="minorEastAsia" w:eastAsiaTheme="minorEastAsia"/>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bottom w:val="single" w:color="auto" w:sz="4" w:space="0"/>
            </w:tcBorders>
            <w:vAlign w:val="bottom"/>
          </w:tcPr>
          <w:p>
            <w:pPr>
              <w:widowControl/>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经营活动产生的现金流量净额</w:t>
            </w:r>
          </w:p>
        </w:tc>
        <w:tc>
          <w:tcPr>
            <w:tcW w:w="1389" w:type="pct"/>
            <w:tcBorders>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134,707,866.78 </w:t>
            </w:r>
          </w:p>
        </w:tc>
        <w:tc>
          <w:tcPr>
            <w:tcW w:w="1389" w:type="pct"/>
            <w:tcBorders>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11,387,329.51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top w:val="single" w:color="auto" w:sz="4" w:space="0"/>
              <w:bottom w:val="single" w:color="auto" w:sz="4" w:space="0"/>
            </w:tcBorders>
            <w:vAlign w:val="bottom"/>
          </w:tcPr>
          <w:p>
            <w:pPr>
              <w:widowControl/>
              <w:rPr>
                <w:rFonts w:ascii="宋体" w:cs="宋体"/>
                <w:color w:val="auto"/>
                <w:kern w:val="0"/>
                <w:sz w:val="18"/>
                <w:szCs w:val="18"/>
              </w:rPr>
            </w:pPr>
            <w:r>
              <w:rPr>
                <w:rFonts w:ascii="宋体" w:hAnsi="宋体" w:cs="宋体"/>
                <w:color w:val="auto"/>
                <w:kern w:val="0"/>
                <w:sz w:val="18"/>
                <w:szCs w:val="18"/>
              </w:rPr>
              <w:t>2.不涉及现金收支的重大投资和筹资活动：</w:t>
            </w:r>
          </w:p>
        </w:tc>
        <w:tc>
          <w:tcPr>
            <w:tcW w:w="1389" w:type="pct"/>
            <w:tcBorders>
              <w:top w:val="single" w:color="auto" w:sz="4" w:space="0"/>
              <w:bottom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　</w:t>
            </w:r>
          </w:p>
        </w:tc>
        <w:tc>
          <w:tcPr>
            <w:tcW w:w="1389"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top w:val="single" w:color="auto" w:sz="4" w:space="0"/>
            </w:tcBorders>
            <w:vAlign w:val="bottom"/>
          </w:tcPr>
          <w:p>
            <w:pPr>
              <w:widowControl/>
              <w:rPr>
                <w:rFonts w:ascii="宋体" w:cs="宋体"/>
                <w:color w:val="auto"/>
                <w:kern w:val="0"/>
                <w:sz w:val="18"/>
                <w:szCs w:val="18"/>
              </w:rPr>
            </w:pPr>
            <w:r>
              <w:rPr>
                <w:rFonts w:hint="eastAsia" w:ascii="宋体" w:hAnsi="宋体" w:cs="宋体"/>
                <w:color w:val="auto"/>
                <w:kern w:val="0"/>
                <w:sz w:val="18"/>
                <w:szCs w:val="18"/>
              </w:rPr>
              <w:t>债务转为资本</w:t>
            </w:r>
          </w:p>
        </w:tc>
        <w:tc>
          <w:tcPr>
            <w:tcW w:w="1389" w:type="pct"/>
            <w:tcBorders>
              <w:top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　</w:t>
            </w:r>
          </w:p>
        </w:tc>
        <w:tc>
          <w:tcPr>
            <w:tcW w:w="1389" w:type="pct"/>
            <w:tcBorders>
              <w:top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vAlign w:val="bottom"/>
          </w:tcPr>
          <w:p>
            <w:pPr>
              <w:widowControl/>
              <w:rPr>
                <w:rFonts w:ascii="宋体" w:cs="宋体"/>
                <w:color w:val="auto"/>
                <w:kern w:val="0"/>
                <w:sz w:val="18"/>
                <w:szCs w:val="18"/>
              </w:rPr>
            </w:pPr>
            <w:r>
              <w:rPr>
                <w:rFonts w:hint="eastAsia" w:ascii="宋体" w:hAnsi="宋体" w:cs="宋体"/>
                <w:color w:val="auto"/>
                <w:kern w:val="0"/>
                <w:sz w:val="18"/>
                <w:szCs w:val="18"/>
              </w:rPr>
              <w:t>一年内到期的可转换公司债券</w:t>
            </w:r>
          </w:p>
        </w:tc>
        <w:tc>
          <w:tcPr>
            <w:tcW w:w="1389" w:type="pct"/>
            <w:vAlign w:val="bottom"/>
          </w:tcPr>
          <w:p>
            <w:pPr>
              <w:jc w:val="right"/>
              <w:rPr>
                <w:rFonts w:ascii="宋体" w:hAnsi="宋体" w:cs="宋体"/>
                <w:color w:val="auto"/>
                <w:sz w:val="18"/>
                <w:szCs w:val="18"/>
              </w:rPr>
            </w:pPr>
            <w:r>
              <w:rPr>
                <w:rFonts w:hint="eastAsia" w:ascii="宋体" w:hAnsi="宋体"/>
                <w:color w:val="auto"/>
                <w:sz w:val="18"/>
                <w:szCs w:val="18"/>
              </w:rPr>
              <w:t>　</w:t>
            </w:r>
          </w:p>
        </w:tc>
        <w:tc>
          <w:tcPr>
            <w:tcW w:w="1389" w:type="pct"/>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vAlign w:val="bottom"/>
          </w:tcPr>
          <w:p>
            <w:pPr>
              <w:widowControl/>
              <w:rPr>
                <w:rFonts w:ascii="宋体" w:cs="宋体"/>
                <w:color w:val="auto"/>
                <w:kern w:val="0"/>
                <w:sz w:val="18"/>
                <w:szCs w:val="18"/>
              </w:rPr>
            </w:pPr>
            <w:r>
              <w:rPr>
                <w:rFonts w:hint="eastAsia" w:ascii="宋体" w:hAnsi="宋体" w:cs="宋体"/>
                <w:color w:val="auto"/>
                <w:kern w:val="0"/>
                <w:sz w:val="18"/>
                <w:szCs w:val="18"/>
              </w:rPr>
              <w:t>融资租入固定资产</w:t>
            </w:r>
          </w:p>
        </w:tc>
        <w:tc>
          <w:tcPr>
            <w:tcW w:w="1389" w:type="pct"/>
            <w:vAlign w:val="bottom"/>
          </w:tcPr>
          <w:p>
            <w:pPr>
              <w:jc w:val="right"/>
              <w:rPr>
                <w:rFonts w:ascii="宋体" w:hAnsi="宋体" w:cs="宋体"/>
                <w:color w:val="auto"/>
                <w:sz w:val="18"/>
                <w:szCs w:val="18"/>
              </w:rPr>
            </w:pPr>
            <w:r>
              <w:rPr>
                <w:rFonts w:hint="eastAsia" w:ascii="宋体" w:hAnsi="宋体"/>
                <w:color w:val="auto"/>
                <w:sz w:val="18"/>
                <w:szCs w:val="18"/>
              </w:rPr>
              <w:t>　</w:t>
            </w:r>
          </w:p>
        </w:tc>
        <w:tc>
          <w:tcPr>
            <w:tcW w:w="1389" w:type="pct"/>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vAlign w:val="bottom"/>
          </w:tcPr>
          <w:p>
            <w:pPr>
              <w:widowControl/>
              <w:rPr>
                <w:rFonts w:ascii="宋体" w:cs="宋体"/>
                <w:color w:val="auto"/>
                <w:kern w:val="0"/>
                <w:sz w:val="18"/>
                <w:szCs w:val="18"/>
              </w:rPr>
            </w:pPr>
            <w:r>
              <w:rPr>
                <w:rFonts w:ascii="宋体" w:hAnsi="宋体" w:cs="宋体"/>
                <w:color w:val="auto"/>
                <w:kern w:val="0"/>
                <w:sz w:val="18"/>
                <w:szCs w:val="18"/>
              </w:rPr>
              <w:t>3.现金及现金等价物净变动情况：</w:t>
            </w:r>
          </w:p>
        </w:tc>
        <w:tc>
          <w:tcPr>
            <w:tcW w:w="1389" w:type="pct"/>
            <w:vAlign w:val="bottom"/>
          </w:tcPr>
          <w:p>
            <w:pPr>
              <w:jc w:val="right"/>
              <w:rPr>
                <w:rFonts w:ascii="宋体" w:hAnsi="宋体" w:cs="宋体"/>
                <w:color w:val="auto"/>
                <w:sz w:val="18"/>
                <w:szCs w:val="18"/>
              </w:rPr>
            </w:pPr>
            <w:r>
              <w:rPr>
                <w:rFonts w:hint="eastAsia" w:ascii="宋体" w:hAnsi="宋体"/>
                <w:color w:val="auto"/>
                <w:sz w:val="18"/>
                <w:szCs w:val="18"/>
              </w:rPr>
              <w:t>　</w:t>
            </w:r>
          </w:p>
        </w:tc>
        <w:tc>
          <w:tcPr>
            <w:tcW w:w="1389" w:type="pct"/>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bottom w:val="single" w:color="auto" w:sz="4" w:space="0"/>
            </w:tcBorders>
            <w:vAlign w:val="bottom"/>
          </w:tcPr>
          <w:p>
            <w:pPr>
              <w:widowControl/>
              <w:rPr>
                <w:rFonts w:ascii="宋体" w:cs="宋体"/>
                <w:color w:val="auto"/>
                <w:kern w:val="0"/>
                <w:sz w:val="18"/>
                <w:szCs w:val="18"/>
              </w:rPr>
            </w:pPr>
            <w:r>
              <w:rPr>
                <w:rFonts w:hint="eastAsia" w:ascii="宋体" w:hAnsi="宋体" w:cs="宋体"/>
                <w:color w:val="auto"/>
                <w:kern w:val="0"/>
                <w:sz w:val="18"/>
                <w:szCs w:val="18"/>
              </w:rPr>
              <w:t>现金的期末余额</w:t>
            </w:r>
          </w:p>
        </w:tc>
        <w:tc>
          <w:tcPr>
            <w:tcW w:w="1389" w:type="pct"/>
            <w:tcBorders>
              <w:bottom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153,781,800.51 </w:t>
            </w:r>
          </w:p>
        </w:tc>
        <w:tc>
          <w:tcPr>
            <w:tcW w:w="1389" w:type="pct"/>
            <w:tcBorders>
              <w:bottom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xml:space="preserve">80,991,568.72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top w:val="single" w:color="auto" w:sz="4" w:space="0"/>
              <w:bottom w:val="single" w:color="auto" w:sz="4" w:space="0"/>
            </w:tcBorders>
            <w:vAlign w:val="bottom"/>
          </w:tcPr>
          <w:p>
            <w:pPr>
              <w:widowControl/>
              <w:rPr>
                <w:rFonts w:ascii="宋体" w:cs="宋体"/>
                <w:color w:val="auto"/>
                <w:kern w:val="0"/>
                <w:sz w:val="18"/>
                <w:szCs w:val="18"/>
              </w:rPr>
            </w:pPr>
            <w:r>
              <w:rPr>
                <w:rFonts w:hint="eastAsia" w:ascii="宋体" w:hAnsi="宋体" w:cs="宋体"/>
                <w:color w:val="auto"/>
                <w:kern w:val="0"/>
                <w:sz w:val="18"/>
                <w:szCs w:val="18"/>
              </w:rPr>
              <w:t>减：现金的期初余额</w:t>
            </w:r>
          </w:p>
        </w:tc>
        <w:tc>
          <w:tcPr>
            <w:tcW w:w="1389" w:type="pct"/>
            <w:tcBorders>
              <w:top w:val="single" w:color="auto" w:sz="4" w:space="0"/>
              <w:bottom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80,991,568.72 </w:t>
            </w:r>
          </w:p>
        </w:tc>
        <w:tc>
          <w:tcPr>
            <w:tcW w:w="1389"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xml:space="preserve">41,257,412.55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top w:val="single" w:color="auto" w:sz="4" w:space="0"/>
            </w:tcBorders>
            <w:vAlign w:val="bottom"/>
          </w:tcPr>
          <w:p>
            <w:pPr>
              <w:rPr>
                <w:rFonts w:ascii="宋体" w:hAnsi="宋体" w:cs="宋体"/>
                <w:color w:val="auto"/>
                <w:sz w:val="18"/>
                <w:szCs w:val="18"/>
              </w:rPr>
            </w:pPr>
            <w:r>
              <w:rPr>
                <w:rFonts w:hint="eastAsia"/>
                <w:color w:val="auto"/>
                <w:sz w:val="18"/>
                <w:szCs w:val="18"/>
              </w:rPr>
              <w:t>加：现金等价物的期末余额</w:t>
            </w:r>
          </w:p>
        </w:tc>
        <w:tc>
          <w:tcPr>
            <w:tcW w:w="1389" w:type="pct"/>
            <w:tcBorders>
              <w:top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　</w:t>
            </w:r>
          </w:p>
        </w:tc>
        <w:tc>
          <w:tcPr>
            <w:tcW w:w="1389" w:type="pct"/>
            <w:tcBorders>
              <w:top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vAlign w:val="bottom"/>
          </w:tcPr>
          <w:p>
            <w:pPr>
              <w:rPr>
                <w:rFonts w:ascii="宋体" w:hAnsi="宋体" w:cs="宋体"/>
                <w:color w:val="auto"/>
                <w:sz w:val="18"/>
                <w:szCs w:val="18"/>
              </w:rPr>
            </w:pPr>
            <w:r>
              <w:rPr>
                <w:rFonts w:hint="eastAsia"/>
                <w:color w:val="auto"/>
                <w:sz w:val="18"/>
                <w:szCs w:val="18"/>
              </w:rPr>
              <w:t>减：现金等价物的期初余额</w:t>
            </w:r>
          </w:p>
        </w:tc>
        <w:tc>
          <w:tcPr>
            <w:tcW w:w="1389" w:type="pct"/>
            <w:vAlign w:val="bottom"/>
          </w:tcPr>
          <w:p>
            <w:pPr>
              <w:jc w:val="right"/>
              <w:rPr>
                <w:rFonts w:ascii="宋体" w:hAnsi="宋体" w:cs="宋体"/>
                <w:color w:val="auto"/>
                <w:sz w:val="18"/>
                <w:szCs w:val="18"/>
              </w:rPr>
            </w:pPr>
            <w:r>
              <w:rPr>
                <w:rFonts w:hint="eastAsia" w:ascii="宋体" w:hAnsi="宋体"/>
                <w:color w:val="auto"/>
                <w:sz w:val="18"/>
                <w:szCs w:val="18"/>
              </w:rPr>
              <w:t>　</w:t>
            </w:r>
          </w:p>
        </w:tc>
        <w:tc>
          <w:tcPr>
            <w:tcW w:w="1389" w:type="pct"/>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222" w:type="pct"/>
            <w:tcBorders>
              <w:bottom w:val="single" w:color="auto" w:sz="12" w:space="0"/>
            </w:tcBorders>
            <w:vAlign w:val="bottom"/>
          </w:tcPr>
          <w:p>
            <w:pPr>
              <w:widowControl/>
              <w:rPr>
                <w:rFonts w:ascii="宋体" w:cs="宋体"/>
                <w:color w:val="auto"/>
                <w:kern w:val="0"/>
                <w:sz w:val="18"/>
                <w:szCs w:val="18"/>
              </w:rPr>
            </w:pPr>
            <w:r>
              <w:rPr>
                <w:rFonts w:hint="eastAsia" w:ascii="宋体" w:hAnsi="宋体" w:cs="宋体"/>
                <w:color w:val="auto"/>
                <w:kern w:val="0"/>
                <w:sz w:val="18"/>
                <w:szCs w:val="18"/>
              </w:rPr>
              <w:t>现金及现金等价物净增加额</w:t>
            </w:r>
          </w:p>
        </w:tc>
        <w:tc>
          <w:tcPr>
            <w:tcW w:w="1389" w:type="pct"/>
            <w:tcBorders>
              <w:bottom w:val="single" w:color="auto" w:sz="12"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72,790,231.79 </w:t>
            </w:r>
          </w:p>
        </w:tc>
        <w:tc>
          <w:tcPr>
            <w:tcW w:w="1389" w:type="pct"/>
            <w:tcBorders>
              <w:bottom w:val="single" w:color="auto" w:sz="12"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 xml:space="preserve">39,734,156.17 </w:t>
            </w:r>
          </w:p>
        </w:tc>
      </w:tr>
    </w:tbl>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（2）现金及现金等价物的构成：</w:t>
      </w:r>
    </w:p>
    <w:tbl>
      <w:tblPr>
        <w:tblStyle w:val="9"/>
        <w:tblW w:w="5000" w:type="pct"/>
        <w:tblCaption w:val="&quot;\\lisheng\共享\1、伟隆2022年度审计\1、2022年度审计\1、附注及报告\2022年\附注计算-伟隆 - 2022.xlsx&quot; &quot;2022附注格式!_ReportTable_0096&quot;"/>
        <w:tblDescription w:val="A797:C808"/>
        <w:tblInd w:w="0" w:type="dxa"/>
        <w:tblLayout w:type="autofit"/>
        <w:tblCellMar>
          <w:top w:w="0" w:type="dxa"/>
          <w:left w:w="30" w:type="dxa"/>
          <w:bottom w:w="0" w:type="dxa"/>
          <w:right w:w="30" w:type="dxa"/>
        </w:tblCellMar>
      </w:tblPr>
      <w:tblGrid>
        <w:gridCol w:w="4173"/>
        <w:gridCol w:w="2762"/>
        <w:gridCol w:w="2762"/>
      </w:tblGrid>
      <w:tr>
        <w:tblPrEx>
          <w:tblCellMar>
            <w:top w:w="0" w:type="dxa"/>
            <w:left w:w="30" w:type="dxa"/>
            <w:bottom w:w="0" w:type="dxa"/>
            <w:right w:w="30" w:type="dxa"/>
          </w:tblCellMar>
        </w:tblPrEx>
        <w:trPr>
          <w:trHeight w:val="454" w:hRule="atLeast"/>
        </w:trPr>
        <w:tc>
          <w:tcPr>
            <w:tcW w:w="2152" w:type="pct"/>
            <w:tcBorders>
              <w:top w:val="single" w:color="auto" w:sz="12" w:space="0"/>
              <w:bottom w:val="single" w:color="auto" w:sz="12" w:space="0"/>
              <w:right w:val="single" w:color="auto" w:sz="4"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w:t>
            </w:r>
            <w:r>
              <w:rPr>
                <w:rFonts w:asciiTheme="minorEastAsia" w:hAnsiTheme="minorEastAsia" w:eastAsiaTheme="minorEastAsia"/>
                <w:b/>
                <w:bCs/>
                <w:color w:val="auto"/>
                <w:sz w:val="18"/>
                <w:szCs w:val="18"/>
              </w:rPr>
              <w:t xml:space="preserve">   目</w:t>
            </w:r>
          </w:p>
        </w:tc>
        <w:tc>
          <w:tcPr>
            <w:tcW w:w="1424" w:type="pct"/>
            <w:tcBorders>
              <w:top w:val="single" w:color="auto" w:sz="12" w:space="0"/>
              <w:bottom w:val="single" w:color="auto" w:sz="12" w:space="0"/>
              <w:right w:val="single" w:color="auto" w:sz="4"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期末余额</w:t>
            </w:r>
          </w:p>
        </w:tc>
        <w:tc>
          <w:tcPr>
            <w:tcW w:w="1424" w:type="pct"/>
            <w:tcBorders>
              <w:top w:val="single" w:color="auto" w:sz="12"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期初余额</w:t>
            </w:r>
          </w:p>
        </w:tc>
      </w:tr>
      <w:tr>
        <w:tblPrEx>
          <w:tblCellMar>
            <w:top w:w="0" w:type="dxa"/>
            <w:left w:w="30" w:type="dxa"/>
            <w:bottom w:w="0" w:type="dxa"/>
            <w:right w:w="30" w:type="dxa"/>
          </w:tblCellMar>
        </w:tblPrEx>
        <w:trPr>
          <w:trHeight w:val="454" w:hRule="atLeast"/>
        </w:trPr>
        <w:tc>
          <w:tcPr>
            <w:tcW w:w="2152" w:type="pct"/>
            <w:tcBorders>
              <w:top w:val="single" w:color="auto" w:sz="12" w:space="0"/>
              <w:bottom w:val="single" w:color="auto" w:sz="4" w:space="0"/>
              <w:right w:val="single" w:color="auto" w:sz="4" w:space="0"/>
            </w:tcBorders>
            <w:vAlign w:val="bottom"/>
          </w:tcPr>
          <w:p>
            <w:pPr>
              <w:rPr>
                <w:rFonts w:ascii="宋体"/>
                <w:bCs/>
                <w:color w:val="auto"/>
                <w:sz w:val="18"/>
                <w:szCs w:val="18"/>
              </w:rPr>
            </w:pPr>
            <w:r>
              <w:rPr>
                <w:rFonts w:hint="eastAsia" w:ascii="宋体" w:hAnsi="宋体"/>
                <w:bCs/>
                <w:color w:val="auto"/>
                <w:sz w:val="18"/>
                <w:szCs w:val="18"/>
              </w:rPr>
              <w:t>一、现金</w:t>
            </w:r>
          </w:p>
        </w:tc>
        <w:tc>
          <w:tcPr>
            <w:tcW w:w="1424" w:type="pct"/>
            <w:tcBorders>
              <w:top w:val="single" w:color="auto" w:sz="12"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153,781,800.51</w:t>
            </w:r>
          </w:p>
        </w:tc>
        <w:tc>
          <w:tcPr>
            <w:tcW w:w="1424" w:type="pct"/>
            <w:tcBorders>
              <w:top w:val="single" w:color="auto" w:sz="12" w:space="0"/>
              <w:bottom w:val="single" w:color="auto" w:sz="4" w:space="0"/>
            </w:tcBorders>
            <w:vAlign w:val="bottom"/>
          </w:tcPr>
          <w:p>
            <w:pPr>
              <w:jc w:val="right"/>
              <w:rPr>
                <w:rFonts w:cs="宋体" w:asciiTheme="majorEastAsia" w:hAnsiTheme="majorEastAsia" w:eastAsiaTheme="majorEastAsia"/>
                <w:color w:val="auto"/>
                <w:sz w:val="18"/>
                <w:szCs w:val="18"/>
              </w:rPr>
            </w:pPr>
            <w:r>
              <w:rPr>
                <w:rFonts w:ascii="宋体" w:hAnsi="宋体" w:cs="宋体"/>
                <w:color w:val="auto"/>
                <w:kern w:val="0"/>
                <w:sz w:val="18"/>
                <w:szCs w:val="18"/>
              </w:rPr>
              <w:t xml:space="preserve">      80,991,568.72 </w:t>
            </w:r>
          </w:p>
        </w:tc>
      </w:tr>
      <w:tr>
        <w:tblPrEx>
          <w:tblCellMar>
            <w:top w:w="0" w:type="dxa"/>
            <w:left w:w="30" w:type="dxa"/>
            <w:bottom w:w="0" w:type="dxa"/>
            <w:right w:w="30" w:type="dxa"/>
          </w:tblCellMar>
        </w:tblPrEx>
        <w:trPr>
          <w:trHeight w:val="454" w:hRule="atLeast"/>
        </w:trPr>
        <w:tc>
          <w:tcPr>
            <w:tcW w:w="2152" w:type="pct"/>
            <w:tcBorders>
              <w:top w:val="single" w:color="auto" w:sz="4" w:space="0"/>
              <w:bottom w:val="single" w:color="auto" w:sz="4" w:space="0"/>
              <w:right w:val="single" w:color="auto" w:sz="4" w:space="0"/>
            </w:tcBorders>
            <w:vAlign w:val="bottom"/>
          </w:tcPr>
          <w:p>
            <w:pPr>
              <w:rPr>
                <w:rFonts w:ascii="宋体"/>
                <w:color w:val="auto"/>
                <w:sz w:val="18"/>
                <w:szCs w:val="18"/>
              </w:rPr>
            </w:pPr>
            <w:r>
              <w:rPr>
                <w:rFonts w:hint="eastAsia" w:ascii="宋体" w:hAnsi="宋体"/>
                <w:color w:val="auto"/>
                <w:sz w:val="18"/>
                <w:szCs w:val="18"/>
              </w:rPr>
              <w:t>其中：库存现金</w:t>
            </w:r>
          </w:p>
        </w:tc>
        <w:tc>
          <w:tcPr>
            <w:tcW w:w="1424" w:type="pct"/>
            <w:tcBorders>
              <w:top w:val="single" w:color="auto" w:sz="4" w:space="0"/>
              <w:bottom w:val="single" w:color="auto" w:sz="4" w:space="0"/>
              <w:right w:val="single" w:color="auto" w:sz="4" w:space="0"/>
            </w:tcBorders>
            <w:vAlign w:val="bottom"/>
          </w:tcPr>
          <w:p>
            <w:pPr>
              <w:autoSpaceDE w:val="0"/>
              <w:autoSpaceDN w:val="0"/>
              <w:adjustRightInd w:val="0"/>
              <w:jc w:val="right"/>
              <w:rPr>
                <w:rFonts w:cs="宋体" w:asciiTheme="minorEastAsia" w:hAnsiTheme="minorEastAsia" w:eastAsiaTheme="minorEastAsia"/>
                <w:color w:val="auto"/>
                <w:kern w:val="0"/>
                <w:sz w:val="18"/>
                <w:szCs w:val="18"/>
              </w:rPr>
            </w:pPr>
            <w:r>
              <w:rPr>
                <w:rFonts w:asciiTheme="minorEastAsia" w:hAnsiTheme="minorEastAsia" w:eastAsiaTheme="minorEastAsia"/>
                <w:color w:val="auto"/>
                <w:sz w:val="18"/>
              </w:rPr>
              <w:t xml:space="preserve"> 76,340.66 </w:t>
            </w:r>
          </w:p>
        </w:tc>
        <w:tc>
          <w:tcPr>
            <w:tcW w:w="1424"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ascii="宋体" w:hAnsi="宋体" w:cs="宋体"/>
                <w:color w:val="auto"/>
                <w:kern w:val="0"/>
                <w:sz w:val="18"/>
                <w:szCs w:val="18"/>
              </w:rPr>
              <w:t xml:space="preserve">       1,416,007.24 </w:t>
            </w:r>
          </w:p>
        </w:tc>
      </w:tr>
      <w:tr>
        <w:tblPrEx>
          <w:tblCellMar>
            <w:top w:w="0" w:type="dxa"/>
            <w:left w:w="30" w:type="dxa"/>
            <w:bottom w:w="0" w:type="dxa"/>
            <w:right w:w="30" w:type="dxa"/>
          </w:tblCellMar>
        </w:tblPrEx>
        <w:trPr>
          <w:trHeight w:val="454" w:hRule="atLeast"/>
        </w:trPr>
        <w:tc>
          <w:tcPr>
            <w:tcW w:w="2152" w:type="pct"/>
            <w:tcBorders>
              <w:top w:val="single" w:color="auto" w:sz="4" w:space="0"/>
              <w:bottom w:val="single" w:color="auto" w:sz="4" w:space="0"/>
              <w:right w:val="single" w:color="auto" w:sz="4" w:space="0"/>
            </w:tcBorders>
            <w:vAlign w:val="bottom"/>
          </w:tcPr>
          <w:p>
            <w:pPr>
              <w:ind w:firstLine="540" w:firstLineChars="300"/>
              <w:rPr>
                <w:rFonts w:ascii="宋体"/>
                <w:color w:val="auto"/>
                <w:sz w:val="18"/>
                <w:szCs w:val="18"/>
              </w:rPr>
            </w:pPr>
            <w:r>
              <w:rPr>
                <w:rFonts w:hint="eastAsia" w:ascii="宋体" w:hAnsi="宋体"/>
                <w:color w:val="auto"/>
                <w:sz w:val="18"/>
                <w:szCs w:val="18"/>
              </w:rPr>
              <w:t>可随时用于支付的银行存款</w:t>
            </w:r>
          </w:p>
        </w:tc>
        <w:tc>
          <w:tcPr>
            <w:tcW w:w="1424" w:type="pct"/>
            <w:tcBorders>
              <w:top w:val="single" w:color="auto" w:sz="4" w:space="0"/>
              <w:bottom w:val="single" w:color="auto" w:sz="4" w:space="0"/>
              <w:right w:val="single" w:color="auto" w:sz="4" w:space="0"/>
            </w:tcBorders>
            <w:vAlign w:val="bottom"/>
          </w:tcPr>
          <w:p>
            <w:pPr>
              <w:autoSpaceDE w:val="0"/>
              <w:autoSpaceDN w:val="0"/>
              <w:adjustRightInd w:val="0"/>
              <w:jc w:val="right"/>
              <w:rPr>
                <w:rFonts w:cs="宋体" w:asciiTheme="minorEastAsia" w:hAnsiTheme="minorEastAsia" w:eastAsiaTheme="minorEastAsia"/>
                <w:color w:val="auto"/>
                <w:kern w:val="0"/>
                <w:sz w:val="18"/>
                <w:szCs w:val="18"/>
              </w:rPr>
            </w:pPr>
            <w:r>
              <w:rPr>
                <w:rFonts w:asciiTheme="minorEastAsia" w:hAnsiTheme="minorEastAsia" w:eastAsiaTheme="minorEastAsia"/>
                <w:color w:val="auto"/>
                <w:sz w:val="18"/>
              </w:rPr>
              <w:t xml:space="preserve"> 153,705,459.85 </w:t>
            </w:r>
          </w:p>
        </w:tc>
        <w:tc>
          <w:tcPr>
            <w:tcW w:w="1424"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ascii="宋体" w:hAnsi="宋体" w:cs="宋体"/>
                <w:color w:val="auto"/>
                <w:kern w:val="0"/>
                <w:sz w:val="18"/>
                <w:szCs w:val="18"/>
              </w:rPr>
              <w:t xml:space="preserve">      79,575,561.48 </w:t>
            </w:r>
          </w:p>
        </w:tc>
      </w:tr>
      <w:tr>
        <w:tblPrEx>
          <w:tblCellMar>
            <w:top w:w="0" w:type="dxa"/>
            <w:left w:w="30" w:type="dxa"/>
            <w:bottom w:w="0" w:type="dxa"/>
            <w:right w:w="30" w:type="dxa"/>
          </w:tblCellMar>
        </w:tblPrEx>
        <w:trPr>
          <w:trHeight w:val="454" w:hRule="atLeast"/>
        </w:trPr>
        <w:tc>
          <w:tcPr>
            <w:tcW w:w="2152" w:type="pct"/>
            <w:tcBorders>
              <w:top w:val="single" w:color="auto" w:sz="4" w:space="0"/>
              <w:bottom w:val="single" w:color="auto" w:sz="4" w:space="0"/>
              <w:right w:val="single" w:color="auto" w:sz="4" w:space="0"/>
            </w:tcBorders>
            <w:vAlign w:val="bottom"/>
          </w:tcPr>
          <w:p>
            <w:pPr>
              <w:ind w:firstLine="540" w:firstLineChars="300"/>
              <w:rPr>
                <w:rFonts w:ascii="宋体"/>
                <w:color w:val="auto"/>
                <w:sz w:val="18"/>
                <w:szCs w:val="18"/>
              </w:rPr>
            </w:pPr>
            <w:r>
              <w:rPr>
                <w:rFonts w:hint="eastAsia" w:ascii="宋体" w:hAnsi="宋体"/>
                <w:color w:val="auto"/>
                <w:sz w:val="18"/>
                <w:szCs w:val="18"/>
              </w:rPr>
              <w:t>可随时用于支付的其他货币资金</w:t>
            </w:r>
          </w:p>
        </w:tc>
        <w:tc>
          <w:tcPr>
            <w:tcW w:w="1424" w:type="pct"/>
            <w:tcBorders>
              <w:top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424"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p>
        </w:tc>
      </w:tr>
      <w:tr>
        <w:tblPrEx>
          <w:tblCellMar>
            <w:top w:w="0" w:type="dxa"/>
            <w:left w:w="30" w:type="dxa"/>
            <w:bottom w:w="0" w:type="dxa"/>
            <w:right w:w="30" w:type="dxa"/>
          </w:tblCellMar>
        </w:tblPrEx>
        <w:trPr>
          <w:trHeight w:val="454" w:hRule="atLeast"/>
        </w:trPr>
        <w:tc>
          <w:tcPr>
            <w:tcW w:w="2152" w:type="pct"/>
            <w:tcBorders>
              <w:top w:val="single" w:color="auto" w:sz="4" w:space="0"/>
              <w:bottom w:val="single" w:color="auto" w:sz="4" w:space="0"/>
              <w:right w:val="single" w:color="auto" w:sz="4" w:space="0"/>
            </w:tcBorders>
            <w:vAlign w:val="bottom"/>
          </w:tcPr>
          <w:p>
            <w:pPr>
              <w:ind w:firstLine="540" w:firstLineChars="300"/>
              <w:rPr>
                <w:rFonts w:ascii="宋体" w:hAnsi="宋体"/>
                <w:color w:val="auto"/>
                <w:sz w:val="18"/>
                <w:szCs w:val="18"/>
              </w:rPr>
            </w:pPr>
            <w:r>
              <w:rPr>
                <w:rFonts w:hint="eastAsia" w:ascii="宋体" w:hAnsi="宋体"/>
                <w:color w:val="auto"/>
                <w:sz w:val="18"/>
                <w:szCs w:val="18"/>
              </w:rPr>
              <w:t>可用于支付的存放中央银行款项</w:t>
            </w:r>
          </w:p>
        </w:tc>
        <w:tc>
          <w:tcPr>
            <w:tcW w:w="1424" w:type="pct"/>
            <w:tcBorders>
              <w:top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424"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p>
        </w:tc>
      </w:tr>
      <w:tr>
        <w:tblPrEx>
          <w:tblCellMar>
            <w:top w:w="0" w:type="dxa"/>
            <w:left w:w="30" w:type="dxa"/>
            <w:bottom w:w="0" w:type="dxa"/>
            <w:right w:w="30" w:type="dxa"/>
          </w:tblCellMar>
        </w:tblPrEx>
        <w:trPr>
          <w:trHeight w:val="454" w:hRule="atLeast"/>
        </w:trPr>
        <w:tc>
          <w:tcPr>
            <w:tcW w:w="2152" w:type="pct"/>
            <w:tcBorders>
              <w:top w:val="single" w:color="auto" w:sz="4" w:space="0"/>
              <w:bottom w:val="single" w:color="auto" w:sz="4" w:space="0"/>
              <w:right w:val="single" w:color="auto" w:sz="4" w:space="0"/>
            </w:tcBorders>
            <w:vAlign w:val="bottom"/>
          </w:tcPr>
          <w:p>
            <w:pPr>
              <w:ind w:firstLine="540" w:firstLineChars="300"/>
              <w:rPr>
                <w:rFonts w:ascii="宋体" w:hAnsi="宋体"/>
                <w:color w:val="auto"/>
                <w:sz w:val="18"/>
                <w:szCs w:val="18"/>
              </w:rPr>
            </w:pPr>
            <w:r>
              <w:rPr>
                <w:rFonts w:hint="eastAsia" w:ascii="宋体" w:hAnsi="宋体"/>
                <w:color w:val="auto"/>
                <w:sz w:val="18"/>
                <w:szCs w:val="18"/>
              </w:rPr>
              <w:t>存放同业款项</w:t>
            </w:r>
          </w:p>
        </w:tc>
        <w:tc>
          <w:tcPr>
            <w:tcW w:w="1424" w:type="pct"/>
            <w:tcBorders>
              <w:top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424"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p>
        </w:tc>
      </w:tr>
      <w:tr>
        <w:tblPrEx>
          <w:tblCellMar>
            <w:top w:w="0" w:type="dxa"/>
            <w:left w:w="30" w:type="dxa"/>
            <w:bottom w:w="0" w:type="dxa"/>
            <w:right w:w="30" w:type="dxa"/>
          </w:tblCellMar>
        </w:tblPrEx>
        <w:trPr>
          <w:trHeight w:val="454" w:hRule="atLeast"/>
        </w:trPr>
        <w:tc>
          <w:tcPr>
            <w:tcW w:w="2152" w:type="pct"/>
            <w:tcBorders>
              <w:top w:val="single" w:color="auto" w:sz="4" w:space="0"/>
              <w:bottom w:val="single" w:color="auto" w:sz="4" w:space="0"/>
              <w:right w:val="single" w:color="auto" w:sz="4" w:space="0"/>
            </w:tcBorders>
            <w:vAlign w:val="bottom"/>
          </w:tcPr>
          <w:p>
            <w:pPr>
              <w:ind w:firstLine="540" w:firstLineChars="300"/>
              <w:rPr>
                <w:rFonts w:ascii="宋体" w:hAnsi="宋体"/>
                <w:color w:val="auto"/>
                <w:sz w:val="18"/>
                <w:szCs w:val="18"/>
              </w:rPr>
            </w:pPr>
            <w:r>
              <w:rPr>
                <w:rFonts w:hint="eastAsia" w:ascii="宋体" w:hAnsi="宋体"/>
                <w:color w:val="auto"/>
                <w:sz w:val="18"/>
                <w:szCs w:val="18"/>
              </w:rPr>
              <w:t>拆放同业款项</w:t>
            </w:r>
          </w:p>
        </w:tc>
        <w:tc>
          <w:tcPr>
            <w:tcW w:w="1424" w:type="pct"/>
            <w:tcBorders>
              <w:top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424"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p>
        </w:tc>
      </w:tr>
      <w:tr>
        <w:tblPrEx>
          <w:tblCellMar>
            <w:top w:w="0" w:type="dxa"/>
            <w:left w:w="30" w:type="dxa"/>
            <w:bottom w:w="0" w:type="dxa"/>
            <w:right w:w="30" w:type="dxa"/>
          </w:tblCellMar>
        </w:tblPrEx>
        <w:trPr>
          <w:trHeight w:val="454" w:hRule="atLeast"/>
        </w:trPr>
        <w:tc>
          <w:tcPr>
            <w:tcW w:w="2152" w:type="pct"/>
            <w:tcBorders>
              <w:top w:val="single" w:color="auto" w:sz="4" w:space="0"/>
              <w:bottom w:val="single" w:color="auto" w:sz="4" w:space="0"/>
              <w:right w:val="single" w:color="auto" w:sz="4" w:space="0"/>
            </w:tcBorders>
            <w:vAlign w:val="bottom"/>
          </w:tcPr>
          <w:p>
            <w:pPr>
              <w:rPr>
                <w:rFonts w:ascii="宋体"/>
                <w:color w:val="auto"/>
                <w:sz w:val="18"/>
                <w:szCs w:val="18"/>
              </w:rPr>
            </w:pPr>
            <w:r>
              <w:rPr>
                <w:rFonts w:hint="eastAsia" w:ascii="宋体" w:hAnsi="宋体"/>
                <w:color w:val="auto"/>
                <w:sz w:val="18"/>
                <w:szCs w:val="18"/>
              </w:rPr>
              <w:t>二、现金等价物</w:t>
            </w:r>
          </w:p>
        </w:tc>
        <w:tc>
          <w:tcPr>
            <w:tcW w:w="1424" w:type="pct"/>
            <w:tcBorders>
              <w:top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424"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p>
        </w:tc>
      </w:tr>
      <w:tr>
        <w:tblPrEx>
          <w:tblCellMar>
            <w:top w:w="0" w:type="dxa"/>
            <w:left w:w="30" w:type="dxa"/>
            <w:bottom w:w="0" w:type="dxa"/>
            <w:right w:w="30" w:type="dxa"/>
          </w:tblCellMar>
        </w:tblPrEx>
        <w:trPr>
          <w:trHeight w:val="454" w:hRule="atLeast"/>
        </w:trPr>
        <w:tc>
          <w:tcPr>
            <w:tcW w:w="2152" w:type="pct"/>
            <w:tcBorders>
              <w:top w:val="single" w:color="auto" w:sz="4" w:space="0"/>
              <w:bottom w:val="single" w:color="auto" w:sz="4" w:space="0"/>
              <w:right w:val="single" w:color="auto" w:sz="4" w:space="0"/>
            </w:tcBorders>
            <w:vAlign w:val="bottom"/>
          </w:tcPr>
          <w:p>
            <w:pPr>
              <w:ind w:firstLine="540" w:firstLineChars="300"/>
              <w:rPr>
                <w:rFonts w:ascii="宋体" w:hAnsi="宋体"/>
                <w:color w:val="auto"/>
                <w:sz w:val="18"/>
                <w:szCs w:val="18"/>
              </w:rPr>
            </w:pPr>
            <w:r>
              <w:rPr>
                <w:rFonts w:hint="eastAsia" w:ascii="宋体" w:hAnsi="宋体"/>
                <w:color w:val="auto"/>
                <w:sz w:val="18"/>
                <w:szCs w:val="18"/>
              </w:rPr>
              <w:t>其中：三个月内到期的债券投资</w:t>
            </w:r>
          </w:p>
        </w:tc>
        <w:tc>
          <w:tcPr>
            <w:tcW w:w="1424" w:type="pct"/>
            <w:tcBorders>
              <w:top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p>
        </w:tc>
        <w:tc>
          <w:tcPr>
            <w:tcW w:w="1424"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p>
        </w:tc>
      </w:tr>
      <w:tr>
        <w:tblPrEx>
          <w:tblCellMar>
            <w:top w:w="0" w:type="dxa"/>
            <w:left w:w="30" w:type="dxa"/>
            <w:bottom w:w="0" w:type="dxa"/>
            <w:right w:w="30" w:type="dxa"/>
          </w:tblCellMar>
        </w:tblPrEx>
        <w:trPr>
          <w:trHeight w:val="454" w:hRule="atLeast"/>
        </w:trPr>
        <w:tc>
          <w:tcPr>
            <w:tcW w:w="2152" w:type="pct"/>
            <w:tcBorders>
              <w:top w:val="single" w:color="auto" w:sz="4" w:space="0"/>
              <w:bottom w:val="single" w:color="auto" w:sz="4" w:space="0"/>
              <w:right w:val="single" w:color="auto" w:sz="4" w:space="0"/>
            </w:tcBorders>
            <w:vAlign w:val="bottom"/>
          </w:tcPr>
          <w:p>
            <w:pPr>
              <w:rPr>
                <w:rFonts w:ascii="宋体"/>
                <w:color w:val="auto"/>
                <w:sz w:val="18"/>
                <w:szCs w:val="18"/>
              </w:rPr>
            </w:pPr>
            <w:r>
              <w:rPr>
                <w:rFonts w:hint="eastAsia" w:ascii="宋体" w:hAnsi="宋体"/>
                <w:color w:val="auto"/>
                <w:sz w:val="18"/>
                <w:szCs w:val="18"/>
              </w:rPr>
              <w:t>三、现金及现金等价物余额</w:t>
            </w:r>
          </w:p>
        </w:tc>
        <w:tc>
          <w:tcPr>
            <w:tcW w:w="1424" w:type="pct"/>
            <w:tcBorders>
              <w:top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153,781,800.51</w:t>
            </w:r>
          </w:p>
        </w:tc>
        <w:tc>
          <w:tcPr>
            <w:tcW w:w="1424"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ascii="宋体" w:hAnsi="宋体" w:cs="宋体"/>
                <w:color w:val="auto"/>
                <w:kern w:val="0"/>
                <w:sz w:val="18"/>
                <w:szCs w:val="18"/>
              </w:rPr>
              <w:t xml:space="preserve">      80,991,568.72 </w:t>
            </w:r>
          </w:p>
        </w:tc>
      </w:tr>
      <w:tr>
        <w:tblPrEx>
          <w:tblCellMar>
            <w:top w:w="0" w:type="dxa"/>
            <w:left w:w="30" w:type="dxa"/>
            <w:bottom w:w="0" w:type="dxa"/>
            <w:right w:w="30" w:type="dxa"/>
          </w:tblCellMar>
        </w:tblPrEx>
        <w:trPr>
          <w:trHeight w:val="454" w:hRule="atLeast"/>
        </w:trPr>
        <w:tc>
          <w:tcPr>
            <w:tcW w:w="2152" w:type="pct"/>
            <w:tcBorders>
              <w:top w:val="single" w:color="auto" w:sz="4" w:space="0"/>
              <w:bottom w:val="single" w:color="auto" w:sz="12" w:space="0"/>
              <w:right w:val="single" w:color="auto" w:sz="4" w:space="0"/>
            </w:tcBorders>
            <w:vAlign w:val="bottom"/>
          </w:tcPr>
          <w:p>
            <w:pPr>
              <w:ind w:firstLine="360" w:firstLineChars="200"/>
              <w:rPr>
                <w:rFonts w:ascii="宋体" w:hAnsi="宋体"/>
                <w:color w:val="auto"/>
                <w:sz w:val="18"/>
                <w:szCs w:val="18"/>
              </w:rPr>
            </w:pPr>
            <w:r>
              <w:rPr>
                <w:rFonts w:hint="eastAsia" w:ascii="宋体" w:hAnsi="宋体"/>
                <w:color w:val="auto"/>
                <w:sz w:val="18"/>
                <w:szCs w:val="18"/>
              </w:rPr>
              <w:t>其中：母公司或集团内子公司使用受限制的现金和现金等价物</w:t>
            </w:r>
          </w:p>
        </w:tc>
        <w:tc>
          <w:tcPr>
            <w:tcW w:w="1424" w:type="pct"/>
            <w:tcBorders>
              <w:top w:val="single" w:color="auto" w:sz="4" w:space="0"/>
              <w:bottom w:val="single" w:color="auto" w:sz="12" w:space="0"/>
              <w:right w:val="single" w:color="auto" w:sz="4" w:space="0"/>
            </w:tcBorders>
            <w:vAlign w:val="bottom"/>
          </w:tcPr>
          <w:p>
            <w:pPr>
              <w:jc w:val="right"/>
              <w:rPr>
                <w:rFonts w:ascii="宋体" w:hAnsi="宋体" w:cs="宋体"/>
                <w:color w:val="auto"/>
                <w:sz w:val="18"/>
                <w:szCs w:val="18"/>
              </w:rPr>
            </w:pPr>
          </w:p>
        </w:tc>
        <w:tc>
          <w:tcPr>
            <w:tcW w:w="1424" w:type="pct"/>
            <w:tcBorders>
              <w:top w:val="single" w:color="auto" w:sz="4" w:space="0"/>
              <w:bottom w:val="single" w:color="auto" w:sz="12" w:space="0"/>
            </w:tcBorders>
          </w:tcPr>
          <w:p>
            <w:pPr>
              <w:jc w:val="right"/>
              <w:rPr>
                <w:rFonts w:asciiTheme="minorEastAsia" w:hAnsiTheme="minorEastAsia" w:eastAsiaTheme="minorEastAsia"/>
                <w:color w:val="auto"/>
                <w:sz w:val="18"/>
                <w:szCs w:val="18"/>
              </w:rPr>
            </w:pP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51、所有权或使用权受到限制的资产</w:t>
      </w:r>
    </w:p>
    <w:tbl>
      <w:tblPr>
        <w:tblStyle w:val="9"/>
        <w:tblW w:w="5000" w:type="pct"/>
        <w:tblCaption w:val="&quot;\\lisheng\共享\1、伟隆2022年度审计\1、2022年度审计\1、附注及报告\2022年\附注计算-伟隆 - 2022.xlsx&quot; &quot;2022附注格式!_ReportTable_0097&quot;"/>
        <w:tblDescription w:val="A810:C813"/>
        <w:tblInd w:w="0" w:type="dxa"/>
        <w:tblLayout w:type="autofit"/>
        <w:tblCellMar>
          <w:top w:w="0" w:type="dxa"/>
          <w:left w:w="30" w:type="dxa"/>
          <w:bottom w:w="0" w:type="dxa"/>
          <w:right w:w="30" w:type="dxa"/>
        </w:tblCellMar>
      </w:tblPr>
      <w:tblGrid>
        <w:gridCol w:w="3183"/>
        <w:gridCol w:w="3161"/>
        <w:gridCol w:w="3353"/>
      </w:tblGrid>
      <w:tr>
        <w:tblPrEx>
          <w:tblCellMar>
            <w:top w:w="0" w:type="dxa"/>
            <w:left w:w="30" w:type="dxa"/>
            <w:bottom w:w="0" w:type="dxa"/>
            <w:right w:w="30" w:type="dxa"/>
          </w:tblCellMar>
        </w:tblPrEx>
        <w:trPr>
          <w:trHeight w:val="454" w:hRule="atLeast"/>
        </w:trPr>
        <w:tc>
          <w:tcPr>
            <w:tcW w:w="1641" w:type="pct"/>
            <w:tcBorders>
              <w:top w:val="single" w:color="auto" w:sz="12" w:space="0"/>
              <w:bottom w:val="single" w:color="auto" w:sz="12" w:space="0"/>
              <w:right w:val="single" w:color="auto" w:sz="4" w:space="0"/>
            </w:tcBorders>
            <w:vAlign w:val="center"/>
          </w:tcPr>
          <w:p>
            <w:pPr>
              <w:jc w:val="center"/>
              <w:rPr>
                <w:rFonts w:ascii="宋体" w:hAnsi="宋体" w:cs="宋体"/>
                <w:b/>
                <w:bCs/>
                <w:color w:val="auto"/>
                <w:sz w:val="18"/>
                <w:szCs w:val="18"/>
              </w:rPr>
            </w:pPr>
            <w:r>
              <w:rPr>
                <w:rFonts w:hint="eastAsia"/>
                <w:b/>
                <w:bCs/>
                <w:color w:val="auto"/>
                <w:sz w:val="18"/>
                <w:szCs w:val="18"/>
              </w:rPr>
              <w:t>项  目</w:t>
            </w:r>
          </w:p>
        </w:tc>
        <w:tc>
          <w:tcPr>
            <w:tcW w:w="1630" w:type="pct"/>
            <w:tcBorders>
              <w:top w:val="single" w:color="auto" w:sz="12" w:space="0"/>
              <w:bottom w:val="single" w:color="auto" w:sz="12" w:space="0"/>
              <w:right w:val="single" w:color="auto" w:sz="4" w:space="0"/>
            </w:tcBorders>
            <w:vAlign w:val="center"/>
          </w:tcPr>
          <w:p>
            <w:pPr>
              <w:jc w:val="center"/>
              <w:rPr>
                <w:rFonts w:ascii="宋体" w:hAnsi="宋体" w:cs="宋体"/>
                <w:b/>
                <w:bCs/>
                <w:color w:val="auto"/>
                <w:sz w:val="18"/>
                <w:szCs w:val="18"/>
              </w:rPr>
            </w:pPr>
            <w:r>
              <w:rPr>
                <w:rFonts w:hint="eastAsia"/>
                <w:b/>
                <w:bCs/>
                <w:color w:val="auto"/>
                <w:sz w:val="18"/>
                <w:szCs w:val="18"/>
              </w:rPr>
              <w:t>期末账面价值</w:t>
            </w:r>
          </w:p>
        </w:tc>
        <w:tc>
          <w:tcPr>
            <w:tcW w:w="1729" w:type="pct"/>
            <w:tcBorders>
              <w:top w:val="single" w:color="auto" w:sz="12" w:space="0"/>
              <w:left w:val="single" w:color="auto" w:sz="4" w:space="0"/>
              <w:bottom w:val="single" w:color="auto" w:sz="12" w:space="0"/>
            </w:tcBorders>
            <w:vAlign w:val="center"/>
          </w:tcPr>
          <w:p>
            <w:pPr>
              <w:jc w:val="center"/>
              <w:rPr>
                <w:rFonts w:ascii="宋体" w:hAnsi="宋体" w:cs="宋体"/>
                <w:b/>
                <w:bCs/>
                <w:color w:val="auto"/>
                <w:sz w:val="18"/>
                <w:szCs w:val="18"/>
              </w:rPr>
            </w:pPr>
            <w:r>
              <w:rPr>
                <w:rFonts w:hint="eastAsia"/>
                <w:b/>
                <w:bCs/>
                <w:color w:val="auto"/>
                <w:sz w:val="18"/>
                <w:szCs w:val="18"/>
              </w:rPr>
              <w:t>受限原因</w:t>
            </w:r>
          </w:p>
        </w:tc>
      </w:tr>
      <w:tr>
        <w:tblPrEx>
          <w:tblCellMar>
            <w:top w:w="0" w:type="dxa"/>
            <w:left w:w="30" w:type="dxa"/>
            <w:bottom w:w="0" w:type="dxa"/>
            <w:right w:w="30" w:type="dxa"/>
          </w:tblCellMar>
        </w:tblPrEx>
        <w:trPr>
          <w:trHeight w:val="454" w:hRule="atLeast"/>
        </w:trPr>
        <w:tc>
          <w:tcPr>
            <w:tcW w:w="1641" w:type="pct"/>
            <w:tcBorders>
              <w:top w:val="single" w:color="auto" w:sz="12" w:space="0"/>
              <w:bottom w:val="single" w:color="auto" w:sz="4" w:space="0"/>
              <w:right w:val="single" w:color="auto" w:sz="4" w:space="0"/>
            </w:tcBorders>
            <w:vAlign w:val="bottom"/>
          </w:tcPr>
          <w:p>
            <w:pP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货币资金</w:t>
            </w:r>
          </w:p>
        </w:tc>
        <w:tc>
          <w:tcPr>
            <w:tcW w:w="1630" w:type="pct"/>
            <w:tcBorders>
              <w:top w:val="single" w:color="auto" w:sz="12"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10,479,480.19</w:t>
            </w:r>
          </w:p>
        </w:tc>
        <w:tc>
          <w:tcPr>
            <w:tcW w:w="1729" w:type="pct"/>
            <w:tcBorders>
              <w:top w:val="single" w:color="auto" w:sz="12" w:space="0"/>
              <w:left w:val="single" w:color="auto" w:sz="4" w:space="0"/>
              <w:bottom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票据保证金、保函保证金</w:t>
            </w:r>
          </w:p>
        </w:tc>
      </w:tr>
      <w:tr>
        <w:tblPrEx>
          <w:tblCellMar>
            <w:top w:w="0" w:type="dxa"/>
            <w:left w:w="30" w:type="dxa"/>
            <w:bottom w:w="0" w:type="dxa"/>
            <w:right w:w="30" w:type="dxa"/>
          </w:tblCellMar>
        </w:tblPrEx>
        <w:trPr>
          <w:trHeight w:val="454" w:hRule="atLeast"/>
        </w:trPr>
        <w:tc>
          <w:tcPr>
            <w:tcW w:w="1641" w:type="pct"/>
            <w:tcBorders>
              <w:top w:val="single" w:color="auto" w:sz="4" w:space="0"/>
              <w:bottom w:val="single" w:color="auto" w:sz="4" w:space="0"/>
              <w:right w:val="single" w:color="auto" w:sz="4" w:space="0"/>
            </w:tcBorders>
            <w:vAlign w:val="bottom"/>
          </w:tcPr>
          <w:p>
            <w:pP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其他流动资产</w:t>
            </w:r>
          </w:p>
        </w:tc>
        <w:tc>
          <w:tcPr>
            <w:tcW w:w="1630" w:type="pct"/>
            <w:tcBorders>
              <w:top w:val="single" w:color="auto" w:sz="4" w:space="0"/>
              <w:bottom w:val="single" w:color="auto" w:sz="4"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20,000,000.00</w:t>
            </w:r>
          </w:p>
        </w:tc>
        <w:tc>
          <w:tcPr>
            <w:tcW w:w="1729" w:type="pct"/>
            <w:tcBorders>
              <w:top w:val="single" w:color="auto" w:sz="4" w:space="0"/>
              <w:left w:val="single" w:color="auto" w:sz="4" w:space="0"/>
              <w:bottom w:val="single" w:color="auto" w:sz="4" w:space="0"/>
            </w:tcBorders>
            <w:vAlign w:val="bottom"/>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大额定期存单质押</w:t>
            </w:r>
          </w:p>
        </w:tc>
      </w:tr>
      <w:tr>
        <w:tblPrEx>
          <w:tblCellMar>
            <w:top w:w="0" w:type="dxa"/>
            <w:left w:w="30" w:type="dxa"/>
            <w:bottom w:w="0" w:type="dxa"/>
            <w:right w:w="30" w:type="dxa"/>
          </w:tblCellMar>
        </w:tblPrEx>
        <w:trPr>
          <w:trHeight w:val="454" w:hRule="atLeast"/>
        </w:trPr>
        <w:tc>
          <w:tcPr>
            <w:tcW w:w="1641" w:type="pct"/>
            <w:tcBorders>
              <w:top w:val="single" w:color="auto" w:sz="4" w:space="0"/>
              <w:bottom w:val="single" w:color="auto" w:sz="12" w:space="0"/>
              <w:right w:val="single" w:color="auto" w:sz="4" w:space="0"/>
            </w:tcBorders>
            <w:vAlign w:val="bottom"/>
          </w:tcPr>
          <w:p>
            <w:pP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债权投资</w:t>
            </w:r>
          </w:p>
        </w:tc>
        <w:tc>
          <w:tcPr>
            <w:tcW w:w="1630" w:type="pct"/>
            <w:tcBorders>
              <w:top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10,000,000.00</w:t>
            </w:r>
          </w:p>
        </w:tc>
        <w:tc>
          <w:tcPr>
            <w:tcW w:w="1729" w:type="pct"/>
            <w:tcBorders>
              <w:top w:val="single" w:color="auto" w:sz="4" w:space="0"/>
              <w:left w:val="single" w:color="auto" w:sz="4" w:space="0"/>
              <w:bottom w:val="single" w:color="auto" w:sz="12" w:space="0"/>
            </w:tcBorders>
            <w:vAlign w:val="bottom"/>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三年定期存单质押</w:t>
            </w:r>
          </w:p>
        </w:tc>
      </w:tr>
      <w:tr>
        <w:tblPrEx>
          <w:tblCellMar>
            <w:top w:w="0" w:type="dxa"/>
            <w:left w:w="30" w:type="dxa"/>
            <w:bottom w:w="0" w:type="dxa"/>
            <w:right w:w="30" w:type="dxa"/>
          </w:tblCellMar>
        </w:tblPrEx>
        <w:trPr>
          <w:trHeight w:val="454" w:hRule="atLeast"/>
        </w:trPr>
        <w:tc>
          <w:tcPr>
            <w:tcW w:w="1641" w:type="pct"/>
            <w:tcBorders>
              <w:top w:val="single" w:color="auto" w:sz="12" w:space="0"/>
              <w:bottom w:val="single" w:color="auto" w:sz="12" w:space="0"/>
              <w:right w:val="single" w:color="auto" w:sz="4" w:space="0"/>
            </w:tcBorders>
            <w:vAlign w:val="bottom"/>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合计</w:t>
            </w:r>
          </w:p>
        </w:tc>
        <w:tc>
          <w:tcPr>
            <w:tcW w:w="1630" w:type="pct"/>
            <w:tcBorders>
              <w:top w:val="single" w:color="auto" w:sz="12"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40,479,480.19</w:t>
            </w:r>
          </w:p>
        </w:tc>
        <w:tc>
          <w:tcPr>
            <w:tcW w:w="1729" w:type="pct"/>
            <w:tcBorders>
              <w:top w:val="single" w:color="auto" w:sz="12" w:space="0"/>
              <w:left w:val="single" w:color="auto" w:sz="4" w:space="0"/>
              <w:bottom w:val="single" w:color="auto" w:sz="12" w:space="0"/>
            </w:tcBorders>
            <w:vAlign w:val="bottom"/>
          </w:tcPr>
          <w:p>
            <w:pPr>
              <w:jc w:val="center"/>
              <w:rPr>
                <w:rFonts w:cs="宋体" w:asciiTheme="minorEastAsia" w:hAnsiTheme="minorEastAsia" w:eastAsiaTheme="minorEastAsia"/>
                <w:color w:val="auto"/>
                <w:sz w:val="18"/>
                <w:szCs w:val="18"/>
              </w:rPr>
            </w:pPr>
          </w:p>
        </w:tc>
      </w:tr>
    </w:tbl>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52、外币货币性项目</w:t>
      </w:r>
    </w:p>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（1）外币货币性项目：</w:t>
      </w:r>
    </w:p>
    <w:tbl>
      <w:tblPr>
        <w:tblStyle w:val="9"/>
        <w:tblW w:w="8931" w:type="dxa"/>
        <w:tblCaption w:val="&quot;\\lisheng\共享\1、伟隆2022年度审计\1、2022年度审计\1、附注及报告\2022年\附注计算-伟隆 - 2022.xlsx&quot; &quot;2022附注格式!_ReportTable_0098&quot;"/>
        <w:tblDescription w:val="A816:D828"/>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2260"/>
        <w:gridCol w:w="1968"/>
        <w:gridCol w:w="25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1" w:type="dxa"/>
            <w:tcBorders>
              <w:top w:val="single" w:color="auto" w:sz="12" w:space="0"/>
              <w:bottom w:val="single" w:color="auto" w:sz="12" w:space="0"/>
            </w:tcBorders>
            <w:shd w:val="clear" w:color="auto" w:fill="auto"/>
            <w:vAlign w:val="center"/>
          </w:tcPr>
          <w:p>
            <w:pPr>
              <w:jc w:val="center"/>
              <w:rPr>
                <w:rFonts w:asciiTheme="minorEastAsia" w:hAnsiTheme="minorEastAsia" w:eastAsiaTheme="minorEastAsia"/>
                <w:b/>
                <w:color w:val="auto"/>
                <w:kern w:val="0"/>
                <w:sz w:val="18"/>
                <w:szCs w:val="18"/>
              </w:rPr>
            </w:pPr>
            <w:r>
              <w:rPr>
                <w:rFonts w:hint="eastAsia" w:asciiTheme="minorEastAsia" w:hAnsiTheme="minorEastAsia" w:eastAsiaTheme="minorEastAsia"/>
                <w:b/>
                <w:color w:val="auto"/>
                <w:kern w:val="0"/>
                <w:sz w:val="18"/>
                <w:szCs w:val="18"/>
              </w:rPr>
              <w:t>项</w:t>
            </w:r>
            <w:r>
              <w:rPr>
                <w:rFonts w:asciiTheme="minorEastAsia" w:hAnsiTheme="minorEastAsia" w:eastAsiaTheme="minorEastAsia"/>
                <w:b/>
                <w:color w:val="auto"/>
                <w:kern w:val="0"/>
                <w:sz w:val="18"/>
                <w:szCs w:val="18"/>
              </w:rPr>
              <w:t xml:space="preserve">  目</w:t>
            </w:r>
          </w:p>
        </w:tc>
        <w:tc>
          <w:tcPr>
            <w:tcW w:w="2260" w:type="dxa"/>
            <w:tcBorders>
              <w:top w:val="single" w:color="auto" w:sz="12" w:space="0"/>
              <w:bottom w:val="single" w:color="auto" w:sz="12" w:space="0"/>
            </w:tcBorders>
            <w:shd w:val="clear" w:color="auto" w:fill="auto"/>
            <w:vAlign w:val="center"/>
          </w:tcPr>
          <w:p>
            <w:pPr>
              <w:jc w:val="center"/>
              <w:rPr>
                <w:rFonts w:asciiTheme="minorEastAsia" w:hAnsiTheme="minorEastAsia" w:eastAsiaTheme="minorEastAsia"/>
                <w:b/>
                <w:color w:val="auto"/>
                <w:kern w:val="0"/>
                <w:sz w:val="18"/>
                <w:szCs w:val="18"/>
              </w:rPr>
            </w:pPr>
            <w:r>
              <w:rPr>
                <w:rFonts w:hint="eastAsia" w:asciiTheme="minorEastAsia" w:hAnsiTheme="minorEastAsia" w:eastAsiaTheme="minorEastAsia"/>
                <w:b/>
                <w:color w:val="auto"/>
                <w:kern w:val="0"/>
                <w:sz w:val="18"/>
                <w:szCs w:val="18"/>
              </w:rPr>
              <w:t>期末外币余额</w:t>
            </w:r>
          </w:p>
        </w:tc>
        <w:tc>
          <w:tcPr>
            <w:tcW w:w="1968" w:type="dxa"/>
            <w:tcBorders>
              <w:top w:val="single" w:color="auto" w:sz="12" w:space="0"/>
              <w:bottom w:val="single" w:color="auto" w:sz="12" w:space="0"/>
            </w:tcBorders>
            <w:shd w:val="clear" w:color="auto" w:fill="auto"/>
            <w:vAlign w:val="center"/>
          </w:tcPr>
          <w:p>
            <w:pPr>
              <w:jc w:val="center"/>
              <w:rPr>
                <w:rFonts w:asciiTheme="minorEastAsia" w:hAnsiTheme="minorEastAsia" w:eastAsiaTheme="minorEastAsia"/>
                <w:b/>
                <w:color w:val="auto"/>
                <w:kern w:val="0"/>
                <w:sz w:val="18"/>
                <w:szCs w:val="18"/>
              </w:rPr>
            </w:pPr>
            <w:r>
              <w:rPr>
                <w:rFonts w:hint="eastAsia" w:asciiTheme="minorEastAsia" w:hAnsiTheme="minorEastAsia" w:eastAsiaTheme="minorEastAsia"/>
                <w:b/>
                <w:color w:val="auto"/>
                <w:kern w:val="0"/>
                <w:sz w:val="18"/>
                <w:szCs w:val="18"/>
              </w:rPr>
              <w:t>折算汇率</w:t>
            </w:r>
          </w:p>
        </w:tc>
        <w:tc>
          <w:tcPr>
            <w:tcW w:w="2552" w:type="dxa"/>
            <w:tcBorders>
              <w:top w:val="single" w:color="auto" w:sz="12" w:space="0"/>
              <w:bottom w:val="single" w:color="auto" w:sz="12" w:space="0"/>
            </w:tcBorders>
            <w:shd w:val="clear" w:color="auto" w:fill="auto"/>
            <w:vAlign w:val="center"/>
          </w:tcPr>
          <w:p>
            <w:pPr>
              <w:jc w:val="center"/>
              <w:rPr>
                <w:rFonts w:asciiTheme="minorEastAsia" w:hAnsiTheme="minorEastAsia" w:eastAsiaTheme="minorEastAsia"/>
                <w:b/>
                <w:color w:val="auto"/>
                <w:kern w:val="0"/>
                <w:sz w:val="18"/>
                <w:szCs w:val="18"/>
              </w:rPr>
            </w:pPr>
            <w:r>
              <w:rPr>
                <w:rFonts w:hint="eastAsia" w:asciiTheme="minorEastAsia" w:hAnsiTheme="minorEastAsia" w:eastAsiaTheme="minorEastAsia"/>
                <w:b/>
                <w:color w:val="auto"/>
                <w:kern w:val="0"/>
                <w:sz w:val="18"/>
                <w:szCs w:val="18"/>
              </w:rPr>
              <w:t>期末折算人民币余额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1" w:type="dxa"/>
            <w:tcBorders>
              <w:top w:val="single" w:color="auto" w:sz="12" w:space="0"/>
              <w:bottom w:val="single" w:color="auto" w:sz="4" w:space="0"/>
            </w:tcBorders>
            <w:shd w:val="clear" w:color="auto" w:fill="auto"/>
            <w:vAlign w:val="bottom"/>
          </w:tcPr>
          <w:p>
            <w:pP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货币资金</w:t>
            </w:r>
          </w:p>
        </w:tc>
        <w:tc>
          <w:tcPr>
            <w:tcW w:w="2260" w:type="dxa"/>
            <w:tcBorders>
              <w:top w:val="single" w:color="auto" w:sz="12" w:space="0"/>
              <w:bottom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p>
        </w:tc>
        <w:tc>
          <w:tcPr>
            <w:tcW w:w="1968" w:type="dxa"/>
            <w:tcBorders>
              <w:top w:val="single" w:color="auto" w:sz="12" w:space="0"/>
              <w:bottom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p>
        </w:tc>
        <w:tc>
          <w:tcPr>
            <w:tcW w:w="2552" w:type="dxa"/>
            <w:tcBorders>
              <w:top w:val="single" w:color="auto" w:sz="12" w:space="0"/>
              <w:bottom w:val="single" w:color="auto" w:sz="4" w:space="0"/>
            </w:tcBorders>
            <w:shd w:val="clear" w:color="auto" w:fill="auto"/>
            <w:vAlign w:val="bottom"/>
          </w:tcPr>
          <w:p>
            <w:pPr>
              <w:jc w:val="right"/>
              <w:rPr>
                <w:rFonts w:cs="宋体" w:asciiTheme="minorEastAsia" w:hAnsiTheme="minorEastAsia" w:eastAsiaTheme="minorEastAsia"/>
                <w:b/>
                <w:bCs/>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1" w:type="dxa"/>
            <w:tcBorders>
              <w:top w:val="single" w:color="auto" w:sz="4" w:space="0"/>
              <w:bottom w:val="single" w:color="auto" w:sz="4" w:space="0"/>
            </w:tcBorders>
            <w:shd w:val="clear" w:color="auto" w:fill="auto"/>
            <w:vAlign w:val="bottom"/>
          </w:tcPr>
          <w:p>
            <w:pP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其中：美元</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13,124,046.83</w:t>
            </w: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6.9646</w:t>
            </w: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91,403,736.55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1" w:type="dxa"/>
            <w:tcBorders>
              <w:top w:val="single" w:color="auto" w:sz="4" w:space="0"/>
              <w:bottom w:val="single" w:color="auto" w:sz="4" w:space="0"/>
            </w:tcBorders>
            <w:shd w:val="clear" w:color="auto" w:fill="auto"/>
            <w:vAlign w:val="bottom"/>
          </w:tcPr>
          <w:p>
            <w:pPr>
              <w:ind w:firstLine="540" w:firstLineChars="300"/>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英镑</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386.53</w:t>
            </w: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8.3941</w:t>
            </w: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3,244.57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1" w:type="dxa"/>
            <w:tcBorders>
              <w:top w:val="single" w:color="auto" w:sz="4" w:space="0"/>
              <w:bottom w:val="single" w:color="auto" w:sz="4" w:space="0"/>
            </w:tcBorders>
            <w:shd w:val="clear" w:color="auto" w:fill="auto"/>
            <w:vAlign w:val="bottom"/>
          </w:tcPr>
          <w:p>
            <w:pPr>
              <w:ind w:firstLine="540" w:firstLineChars="300"/>
              <w:rPr>
                <w:rFonts w:asciiTheme="minorEastAsia" w:hAnsiTheme="minorEastAsia" w:eastAsiaTheme="minorEastAsia"/>
                <w:b/>
                <w:bCs/>
                <w:color w:val="auto"/>
                <w:sz w:val="18"/>
                <w:szCs w:val="18"/>
              </w:rPr>
            </w:pPr>
            <w:r>
              <w:rPr>
                <w:rFonts w:hint="eastAsia" w:asciiTheme="minorEastAsia" w:hAnsiTheme="minorEastAsia" w:eastAsiaTheme="minorEastAsia"/>
                <w:color w:val="auto"/>
                <w:sz w:val="18"/>
                <w:szCs w:val="18"/>
              </w:rPr>
              <w:t>欧元</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155,101.87</w:t>
            </w: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7.4229</w:t>
            </w: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1,151,305.67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1" w:type="dxa"/>
            <w:tcBorders>
              <w:top w:val="single" w:color="auto" w:sz="4" w:space="0"/>
              <w:bottom w:val="single" w:color="auto" w:sz="4" w:space="0"/>
            </w:tcBorders>
            <w:shd w:val="clear" w:color="auto" w:fill="auto"/>
            <w:vAlign w:val="bottom"/>
          </w:tcPr>
          <w:p>
            <w:pP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应收账款</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1" w:type="dxa"/>
            <w:tcBorders>
              <w:top w:val="single" w:color="auto" w:sz="4" w:space="0"/>
              <w:bottom w:val="single" w:color="auto" w:sz="4" w:space="0"/>
            </w:tcBorders>
            <w:shd w:val="clear" w:color="auto" w:fill="auto"/>
            <w:vAlign w:val="bottom"/>
          </w:tcPr>
          <w:p>
            <w:pP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其中：美元</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7,736,854.99</w:t>
            </w: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6.9646</w:t>
            </w: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53,884,100.26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1" w:type="dxa"/>
            <w:tcBorders>
              <w:top w:val="single" w:color="auto" w:sz="4" w:space="0"/>
              <w:bottom w:val="single" w:color="auto" w:sz="4" w:space="0"/>
            </w:tcBorders>
            <w:shd w:val="clear" w:color="auto" w:fill="auto"/>
            <w:vAlign w:val="bottom"/>
          </w:tcPr>
          <w:p>
            <w:pPr>
              <w:ind w:firstLine="540" w:firstLineChars="3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欧元</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hint="eastAsia" w:ascii="宋体" w:hAnsi="宋体"/>
                <w:color w:val="auto"/>
                <w:sz w:val="18"/>
                <w:szCs w:val="18"/>
              </w:rPr>
              <w:t>20,460.42</w:t>
            </w: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hint="eastAsia" w:ascii="宋体" w:hAnsi="宋体"/>
                <w:color w:val="auto"/>
                <w:sz w:val="18"/>
                <w:szCs w:val="18"/>
              </w:rPr>
              <w:t>7.4229</w:t>
            </w: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hint="eastAsia" w:ascii="宋体" w:hAnsi="宋体"/>
                <w:color w:val="auto"/>
                <w:sz w:val="18"/>
                <w:szCs w:val="18"/>
              </w:rPr>
              <w:t>151,875.65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1" w:type="dxa"/>
            <w:tcBorders>
              <w:top w:val="single" w:color="auto" w:sz="4" w:space="0"/>
              <w:bottom w:val="single" w:color="auto" w:sz="4" w:space="0"/>
            </w:tcBorders>
            <w:shd w:val="clear" w:color="auto" w:fill="auto"/>
            <w:vAlign w:val="bottom"/>
          </w:tcPr>
          <w:p>
            <w:pP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应付账款</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1" w:type="dxa"/>
            <w:tcBorders>
              <w:top w:val="single" w:color="auto" w:sz="4" w:space="0"/>
              <w:bottom w:val="single" w:color="auto" w:sz="4" w:space="0"/>
            </w:tcBorders>
            <w:shd w:val="clear" w:color="auto" w:fill="auto"/>
            <w:vAlign w:val="bottom"/>
          </w:tcPr>
          <w:p>
            <w:pP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其中：美元</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158,047.59</w:t>
            </w: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6.9646</w:t>
            </w: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1,100,738.25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1" w:type="dxa"/>
            <w:tcBorders>
              <w:top w:val="single" w:color="auto" w:sz="4" w:space="0"/>
              <w:bottom w:val="single" w:color="auto" w:sz="4" w:space="0"/>
            </w:tcBorders>
            <w:shd w:val="clear" w:color="auto" w:fill="auto"/>
            <w:vAlign w:val="bottom"/>
          </w:tcPr>
          <w:p>
            <w:pPr>
              <w:ind w:firstLine="540" w:firstLineChars="3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欧元</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143,507.94</w:t>
            </w: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7.4229</w:t>
            </w: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1,065,245.09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1" w:type="dxa"/>
            <w:tcBorders>
              <w:top w:val="single" w:color="auto" w:sz="4" w:space="0"/>
              <w:bottom w:val="single" w:color="auto" w:sz="4" w:space="0"/>
            </w:tcBorders>
            <w:shd w:val="clear" w:color="auto" w:fill="auto"/>
            <w:vAlign w:val="bottom"/>
          </w:tcPr>
          <w:p>
            <w:pPr>
              <w:ind w:firstLine="540" w:firstLineChars="300"/>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澳元</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1" w:type="dxa"/>
            <w:tcBorders>
              <w:top w:val="single" w:color="auto" w:sz="4" w:space="0"/>
              <w:bottom w:val="single" w:color="auto" w:sz="4" w:space="0"/>
            </w:tcBorders>
            <w:shd w:val="clear" w:color="auto" w:fill="auto"/>
            <w:vAlign w:val="bottom"/>
          </w:tcPr>
          <w:p>
            <w:pPr>
              <w:jc w:val="left"/>
              <w:rPr>
                <w:rFonts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其他应付款</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1" w:type="dxa"/>
            <w:tcBorders>
              <w:top w:val="single" w:color="auto" w:sz="4" w:space="0"/>
              <w:bottom w:val="single" w:color="auto" w:sz="12" w:space="0"/>
            </w:tcBorders>
            <w:shd w:val="clear" w:color="auto" w:fill="auto"/>
            <w:vAlign w:val="bottom"/>
          </w:tcPr>
          <w:p>
            <w:pPr>
              <w:jc w:val="lef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其中：美元</w:t>
            </w:r>
          </w:p>
        </w:tc>
        <w:tc>
          <w:tcPr>
            <w:tcW w:w="2260" w:type="dxa"/>
            <w:tcBorders>
              <w:top w:val="single" w:color="auto" w:sz="4" w:space="0"/>
              <w:bottom w:val="single" w:color="auto" w:sz="12"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205,430.20 </w:t>
            </w:r>
          </w:p>
        </w:tc>
        <w:tc>
          <w:tcPr>
            <w:tcW w:w="1968" w:type="dxa"/>
            <w:tcBorders>
              <w:top w:val="single" w:color="auto" w:sz="4" w:space="0"/>
              <w:bottom w:val="single" w:color="auto" w:sz="12"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6.9646 </w:t>
            </w:r>
          </w:p>
        </w:tc>
        <w:tc>
          <w:tcPr>
            <w:tcW w:w="2552" w:type="dxa"/>
            <w:tcBorders>
              <w:top w:val="single" w:color="auto" w:sz="4" w:space="0"/>
              <w:bottom w:val="single" w:color="auto" w:sz="12"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1,430,739.17 </w:t>
            </w:r>
          </w:p>
        </w:tc>
      </w:tr>
    </w:tbl>
    <w:p>
      <w:pPr>
        <w:spacing w:before="150" w:beforeLines="50" w:line="360" w:lineRule="auto"/>
        <w:ind w:firstLine="420" w:firstLineChars="200"/>
        <w:rPr>
          <w:rFonts w:ascii="宋体" w:hAnsi="宋体"/>
          <w:color w:val="auto"/>
          <w:szCs w:val="21"/>
        </w:rPr>
      </w:pPr>
      <w:r>
        <w:rPr>
          <w:rFonts w:hint="eastAsia" w:ascii="宋体" w:hAnsi="宋体"/>
          <w:color w:val="auto"/>
          <w:szCs w:val="21"/>
        </w:rPr>
        <w:t>（2）外币交易及境外经营实体主要报表项目的折算汇率</w:t>
      </w:r>
    </w:p>
    <w:p>
      <w:pPr>
        <w:spacing w:line="360" w:lineRule="auto"/>
        <w:ind w:firstLine="420" w:firstLineChars="200"/>
        <w:rPr>
          <w:color w:val="auto"/>
          <w:szCs w:val="21"/>
        </w:rPr>
      </w:pPr>
      <w:r>
        <w:rPr>
          <w:rFonts w:hint="eastAsia"/>
          <w:color w:val="auto"/>
          <w:szCs w:val="21"/>
        </w:rPr>
        <w:t>本公司的外币交易及境外经营实体主要报表项目的折算汇率情况详见附注三、（九）</w:t>
      </w:r>
      <w:r>
        <w:rPr>
          <w:rFonts w:hint="eastAsia" w:ascii="宋体" w:hAnsi="宋体"/>
          <w:color w:val="auto"/>
          <w:szCs w:val="21"/>
        </w:rPr>
        <w:t>外币业务和外币报表折算</w:t>
      </w:r>
      <w:r>
        <w:rPr>
          <w:rFonts w:hint="eastAsia"/>
          <w:color w:val="auto"/>
          <w:szCs w:val="21"/>
        </w:rPr>
        <w:t>。</w:t>
      </w:r>
    </w:p>
    <w:p>
      <w:pPr>
        <w:pStyle w:val="5"/>
        <w:spacing w:before="150" w:beforeLines="50" w:after="150" w:afterLines="50" w:line="360" w:lineRule="auto"/>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53、政府补助</w:t>
      </w:r>
    </w:p>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（1）明细项目：</w:t>
      </w:r>
    </w:p>
    <w:tbl>
      <w:tblPr>
        <w:tblStyle w:val="9"/>
        <w:tblW w:w="5000" w:type="pct"/>
        <w:tblCaption w:val="&quot;\\lisheng\共享\1、伟隆2022年度审计\1、2022年度审计\1、附注及报告\2022年\附注计算-伟隆 - 2022.xlsx&quot; &quot;2022附注格式!_ReportTable_0099&quot;"/>
        <w:tblDescription w:val="A833:D836"/>
        <w:tblInd w:w="0" w:type="dxa"/>
        <w:tblLayout w:type="fixed"/>
        <w:tblCellMar>
          <w:top w:w="0" w:type="dxa"/>
          <w:left w:w="30" w:type="dxa"/>
          <w:bottom w:w="0" w:type="dxa"/>
          <w:right w:w="30" w:type="dxa"/>
        </w:tblCellMar>
      </w:tblPr>
      <w:tblGrid>
        <w:gridCol w:w="3572"/>
        <w:gridCol w:w="2002"/>
        <w:gridCol w:w="2155"/>
        <w:gridCol w:w="1968"/>
      </w:tblGrid>
      <w:tr>
        <w:trPr>
          <w:trHeight w:val="454" w:hRule="atLeast"/>
        </w:trPr>
        <w:tc>
          <w:tcPr>
            <w:tcW w:w="1842" w:type="pct"/>
            <w:tcBorders>
              <w:top w:val="single" w:color="auto" w:sz="12" w:space="0"/>
              <w:bottom w:val="single" w:color="auto" w:sz="12" w:space="0"/>
              <w:right w:val="single" w:color="auto" w:sz="4" w:space="0"/>
            </w:tcBorders>
            <w:vAlign w:val="bottom"/>
          </w:tcPr>
          <w:p>
            <w:pPr>
              <w:spacing w:line="360" w:lineRule="auto"/>
              <w:jc w:val="center"/>
              <w:rPr>
                <w:rFonts w:ascii="宋体"/>
                <w:b/>
                <w:bCs/>
                <w:color w:val="auto"/>
                <w:sz w:val="18"/>
                <w:szCs w:val="18"/>
              </w:rPr>
            </w:pPr>
            <w:r>
              <w:rPr>
                <w:rFonts w:hint="eastAsia" w:ascii="宋体" w:hAnsi="宋体"/>
                <w:b/>
                <w:bCs/>
                <w:color w:val="auto"/>
                <w:sz w:val="18"/>
                <w:szCs w:val="18"/>
              </w:rPr>
              <w:t>项</w:t>
            </w:r>
            <w:r>
              <w:rPr>
                <w:rFonts w:ascii="宋体" w:hAnsi="宋体"/>
                <w:b/>
                <w:bCs/>
                <w:color w:val="auto"/>
                <w:sz w:val="18"/>
                <w:szCs w:val="18"/>
              </w:rPr>
              <w:t xml:space="preserve">  目</w:t>
            </w:r>
          </w:p>
        </w:tc>
        <w:tc>
          <w:tcPr>
            <w:tcW w:w="1032" w:type="pct"/>
            <w:tcBorders>
              <w:top w:val="single" w:color="auto" w:sz="12" w:space="0"/>
              <w:bottom w:val="single" w:color="auto" w:sz="12" w:space="0"/>
              <w:right w:val="single" w:color="auto" w:sz="4" w:space="0"/>
            </w:tcBorders>
            <w:vAlign w:val="bottom"/>
          </w:tcPr>
          <w:p>
            <w:pPr>
              <w:spacing w:line="360" w:lineRule="auto"/>
              <w:jc w:val="center"/>
              <w:rPr>
                <w:rFonts w:ascii="宋体" w:hAnsi="宋体"/>
                <w:b/>
                <w:color w:val="auto"/>
                <w:sz w:val="18"/>
                <w:szCs w:val="18"/>
              </w:rPr>
            </w:pPr>
            <w:r>
              <w:rPr>
                <w:rFonts w:hint="eastAsia" w:asciiTheme="minorEastAsia" w:hAnsiTheme="minorEastAsia" w:eastAsiaTheme="minorEastAsia"/>
                <w:b/>
                <w:bCs/>
                <w:color w:val="auto"/>
                <w:sz w:val="18"/>
                <w:szCs w:val="18"/>
              </w:rPr>
              <w:t>金额</w:t>
            </w:r>
          </w:p>
        </w:tc>
        <w:tc>
          <w:tcPr>
            <w:tcW w:w="1111" w:type="pct"/>
            <w:tcBorders>
              <w:top w:val="single" w:color="auto" w:sz="12" w:space="0"/>
              <w:left w:val="single" w:color="auto" w:sz="4" w:space="0"/>
              <w:bottom w:val="single" w:color="auto" w:sz="12" w:space="0"/>
              <w:right w:val="single" w:color="auto" w:sz="4" w:space="0"/>
            </w:tcBorders>
            <w:vAlign w:val="bottom"/>
          </w:tcPr>
          <w:p>
            <w:pPr>
              <w:spacing w:line="360" w:lineRule="auto"/>
              <w:jc w:val="center"/>
              <w:rPr>
                <w:rFonts w:ascii="宋体" w:hAnsi="宋体"/>
                <w:b/>
                <w:bCs/>
                <w:color w:val="auto"/>
                <w:sz w:val="18"/>
                <w:szCs w:val="18"/>
              </w:rPr>
            </w:pPr>
            <w:r>
              <w:rPr>
                <w:rFonts w:hint="eastAsia" w:ascii="宋体" w:hAnsi="宋体"/>
                <w:b/>
                <w:color w:val="auto"/>
                <w:sz w:val="18"/>
                <w:szCs w:val="18"/>
              </w:rPr>
              <w:t>列报项目</w:t>
            </w:r>
          </w:p>
        </w:tc>
        <w:tc>
          <w:tcPr>
            <w:tcW w:w="1015" w:type="pct"/>
            <w:tcBorders>
              <w:top w:val="single" w:color="auto" w:sz="12" w:space="0"/>
              <w:left w:val="single" w:color="auto" w:sz="4" w:space="0"/>
              <w:bottom w:val="single" w:color="auto" w:sz="12" w:space="0"/>
            </w:tcBorders>
            <w:vAlign w:val="center"/>
          </w:tcPr>
          <w:p>
            <w:pPr>
              <w:jc w:val="center"/>
              <w:rPr>
                <w:rFonts w:ascii="宋体" w:hAnsi="宋体" w:cs="宋体"/>
                <w:b/>
                <w:bCs/>
                <w:color w:val="auto"/>
                <w:sz w:val="18"/>
                <w:szCs w:val="18"/>
              </w:rPr>
            </w:pPr>
            <w:r>
              <w:rPr>
                <w:rFonts w:hint="eastAsia"/>
                <w:b/>
                <w:bCs/>
                <w:color w:val="auto"/>
                <w:sz w:val="18"/>
                <w:szCs w:val="18"/>
              </w:rPr>
              <w:t>计入当期损益金额</w:t>
            </w:r>
          </w:p>
        </w:tc>
      </w:tr>
      <w:tr>
        <w:tblPrEx>
          <w:tblCellMar>
            <w:top w:w="0" w:type="dxa"/>
            <w:left w:w="30" w:type="dxa"/>
            <w:bottom w:w="0" w:type="dxa"/>
            <w:right w:w="30" w:type="dxa"/>
          </w:tblCellMar>
        </w:tblPrEx>
        <w:trPr>
          <w:trHeight w:val="454" w:hRule="atLeast"/>
        </w:trPr>
        <w:tc>
          <w:tcPr>
            <w:tcW w:w="1842" w:type="pct"/>
            <w:tcBorders>
              <w:top w:val="single" w:color="auto" w:sz="4" w:space="0"/>
              <w:bottom w:val="single" w:color="auto" w:sz="4" w:space="0"/>
              <w:right w:val="single" w:color="auto" w:sz="4" w:space="0"/>
            </w:tcBorders>
            <w:vAlign w:val="bottom"/>
          </w:tcPr>
          <w:p>
            <w:pPr>
              <w:jc w:val="lef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收益性政府补助</w:t>
            </w:r>
          </w:p>
        </w:tc>
        <w:tc>
          <w:tcPr>
            <w:tcW w:w="1032" w:type="pct"/>
            <w:tcBorders>
              <w:top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2,417,176.31</w:t>
            </w:r>
            <w:r>
              <w:rPr>
                <w:rFonts w:hint="eastAsia" w:ascii="宋体" w:hAnsi="宋体"/>
                <w:color w:val="auto"/>
                <w:sz w:val="18"/>
                <w:szCs w:val="18"/>
              </w:rPr>
              <w:t xml:space="preserve"> </w:t>
            </w:r>
          </w:p>
        </w:tc>
        <w:tc>
          <w:tcPr>
            <w:tcW w:w="1111" w:type="pct"/>
            <w:tcBorders>
              <w:top w:val="single" w:color="auto" w:sz="4" w:space="0"/>
              <w:left w:val="single" w:color="auto" w:sz="4" w:space="0"/>
              <w:bottom w:val="single" w:color="auto" w:sz="4" w:space="0"/>
              <w:right w:val="single" w:color="auto" w:sz="4" w:space="0"/>
            </w:tcBorders>
            <w:vAlign w:val="bottom"/>
          </w:tcPr>
          <w:p>
            <w:pPr>
              <w:jc w:val="cente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其他收益</w:t>
            </w:r>
          </w:p>
        </w:tc>
        <w:tc>
          <w:tcPr>
            <w:tcW w:w="1015"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2,417,176.31 </w:t>
            </w:r>
          </w:p>
        </w:tc>
      </w:tr>
      <w:tr>
        <w:tblPrEx>
          <w:tblCellMar>
            <w:top w:w="0" w:type="dxa"/>
            <w:left w:w="30" w:type="dxa"/>
            <w:bottom w:w="0" w:type="dxa"/>
            <w:right w:w="30" w:type="dxa"/>
          </w:tblCellMar>
        </w:tblPrEx>
        <w:trPr>
          <w:trHeight w:val="454" w:hRule="atLeast"/>
        </w:trPr>
        <w:tc>
          <w:tcPr>
            <w:tcW w:w="1842" w:type="pct"/>
            <w:tcBorders>
              <w:top w:val="single" w:color="auto" w:sz="4" w:space="0"/>
              <w:bottom w:val="single" w:color="auto" w:sz="4" w:space="0"/>
              <w:right w:val="single" w:color="auto" w:sz="4" w:space="0"/>
            </w:tcBorders>
            <w:vAlign w:val="bottom"/>
          </w:tcPr>
          <w:p>
            <w:pPr>
              <w:jc w:val="lef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资产性政府补助</w:t>
            </w:r>
          </w:p>
        </w:tc>
        <w:tc>
          <w:tcPr>
            <w:tcW w:w="1032" w:type="pct"/>
            <w:tcBorders>
              <w:top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hint="eastAsia" w:ascii="宋体" w:hAnsi="宋体"/>
                <w:color w:val="auto"/>
                <w:sz w:val="18"/>
                <w:szCs w:val="18"/>
              </w:rPr>
              <w:t xml:space="preserve">146,000.00 </w:t>
            </w:r>
          </w:p>
        </w:tc>
        <w:tc>
          <w:tcPr>
            <w:tcW w:w="1111" w:type="pct"/>
            <w:tcBorders>
              <w:top w:val="single" w:color="auto" w:sz="4" w:space="0"/>
              <w:left w:val="single" w:color="auto" w:sz="4" w:space="0"/>
              <w:bottom w:val="single" w:color="auto" w:sz="4" w:space="0"/>
              <w:right w:val="single" w:color="auto" w:sz="4" w:space="0"/>
            </w:tcBorders>
            <w:vAlign w:val="bottom"/>
          </w:tcPr>
          <w:p>
            <w:pPr>
              <w:jc w:val="cente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递延收益</w:t>
            </w:r>
            <w:r>
              <w:rPr>
                <w:rFonts w:asciiTheme="majorEastAsia" w:hAnsiTheme="majorEastAsia" w:eastAsiaTheme="majorEastAsia"/>
                <w:color w:val="auto"/>
                <w:sz w:val="18"/>
                <w:szCs w:val="18"/>
              </w:rPr>
              <w:t>/其他收益</w:t>
            </w:r>
          </w:p>
        </w:tc>
        <w:tc>
          <w:tcPr>
            <w:tcW w:w="1015"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865,239.86 </w:t>
            </w:r>
          </w:p>
        </w:tc>
      </w:tr>
      <w:tr>
        <w:tblPrEx>
          <w:tblCellMar>
            <w:top w:w="0" w:type="dxa"/>
            <w:left w:w="30" w:type="dxa"/>
            <w:bottom w:w="0" w:type="dxa"/>
            <w:right w:w="30" w:type="dxa"/>
          </w:tblCellMar>
        </w:tblPrEx>
        <w:trPr>
          <w:trHeight w:val="454" w:hRule="atLeast"/>
        </w:trPr>
        <w:tc>
          <w:tcPr>
            <w:tcW w:w="1842" w:type="pct"/>
            <w:tcBorders>
              <w:top w:val="single" w:color="auto" w:sz="12" w:space="0"/>
              <w:bottom w:val="single" w:color="auto" w:sz="12" w:space="0"/>
              <w:right w:val="single" w:color="auto" w:sz="4" w:space="0"/>
            </w:tcBorders>
            <w:vAlign w:val="bottom"/>
          </w:tcPr>
          <w:p>
            <w:pPr>
              <w:jc w:val="center"/>
              <w:rPr>
                <w:rFonts w:ascii="宋体" w:hAnsi="宋体" w:cs="宋体"/>
                <w:b/>
                <w:bCs/>
                <w:color w:val="auto"/>
                <w:sz w:val="18"/>
                <w:szCs w:val="18"/>
              </w:rPr>
            </w:pPr>
            <w:r>
              <w:rPr>
                <w:rFonts w:hint="eastAsia" w:ascii="宋体" w:hAnsi="宋体"/>
                <w:b/>
                <w:bCs/>
                <w:color w:val="auto"/>
                <w:sz w:val="18"/>
                <w:szCs w:val="18"/>
              </w:rPr>
              <w:t>合计</w:t>
            </w:r>
          </w:p>
        </w:tc>
        <w:tc>
          <w:tcPr>
            <w:tcW w:w="1032" w:type="pct"/>
            <w:tcBorders>
              <w:top w:val="single" w:color="auto" w:sz="12" w:space="0"/>
              <w:bottom w:val="single" w:color="auto" w:sz="12" w:space="0"/>
              <w:right w:val="single" w:color="auto" w:sz="4" w:space="0"/>
            </w:tcBorders>
            <w:vAlign w:val="bottom"/>
          </w:tcPr>
          <w:p>
            <w:pPr>
              <w:jc w:val="right"/>
              <w:rPr>
                <w:rFonts w:ascii="宋体" w:hAnsi="宋体" w:cs="宋体"/>
                <w:b/>
                <w:bCs/>
                <w:color w:val="auto"/>
                <w:sz w:val="18"/>
                <w:szCs w:val="18"/>
              </w:rPr>
            </w:pPr>
            <w:r>
              <w:rPr>
                <w:rFonts w:ascii="宋体" w:hAnsi="宋体"/>
                <w:b/>
                <w:bCs/>
                <w:color w:val="auto"/>
                <w:sz w:val="18"/>
                <w:szCs w:val="18"/>
              </w:rPr>
              <w:t xml:space="preserve">2,563,176.31 </w:t>
            </w:r>
            <w:r>
              <w:rPr>
                <w:rFonts w:hint="eastAsia" w:ascii="宋体" w:hAnsi="宋体"/>
                <w:b/>
                <w:bCs/>
                <w:color w:val="auto"/>
                <w:sz w:val="18"/>
                <w:szCs w:val="18"/>
              </w:rPr>
              <w:t xml:space="preserve"> </w:t>
            </w:r>
          </w:p>
        </w:tc>
        <w:tc>
          <w:tcPr>
            <w:tcW w:w="1111"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ajorEastAsia" w:hAnsiTheme="majorEastAsia" w:eastAsiaTheme="majorEastAsia"/>
                <w:b/>
                <w:bCs/>
                <w:color w:val="auto"/>
                <w:sz w:val="18"/>
                <w:szCs w:val="18"/>
              </w:rPr>
            </w:pPr>
          </w:p>
        </w:tc>
        <w:tc>
          <w:tcPr>
            <w:tcW w:w="1015" w:type="pct"/>
            <w:tcBorders>
              <w:top w:val="single" w:color="auto" w:sz="12" w:space="0"/>
              <w:left w:val="single" w:color="auto" w:sz="4"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3,282,416.17 </w:t>
            </w:r>
          </w:p>
        </w:tc>
      </w:tr>
    </w:tbl>
    <w:p>
      <w:pPr>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（2）本期无退回政府补助。</w:t>
      </w:r>
    </w:p>
    <w:p>
      <w:pPr>
        <w:spacing w:before="150" w:beforeLines="50" w:after="150" w:afterLines="50" w:line="360" w:lineRule="auto"/>
        <w:ind w:firstLine="480" w:firstLineChars="200"/>
        <w:outlineLvl w:val="0"/>
        <w:rPr>
          <w:rFonts w:cs="Arial" w:asciiTheme="minorEastAsia" w:hAnsiTheme="minorEastAsia" w:eastAsiaTheme="minorEastAsia"/>
          <w:b/>
          <w:bCs/>
          <w:color w:val="auto"/>
          <w:sz w:val="24"/>
          <w:szCs w:val="24"/>
        </w:rPr>
      </w:pPr>
      <w:r>
        <w:rPr>
          <w:rFonts w:hint="eastAsia" w:cs="Arial" w:asciiTheme="minorEastAsia" w:hAnsiTheme="minorEastAsia" w:eastAsiaTheme="minorEastAsia"/>
          <w:b/>
          <w:bCs/>
          <w:color w:val="auto"/>
          <w:sz w:val="24"/>
          <w:szCs w:val="24"/>
        </w:rPr>
        <w:t>六、合并范围的变更</w:t>
      </w:r>
    </w:p>
    <w:p>
      <w:pPr>
        <w:spacing w:before="150" w:beforeLines="50" w:after="150" w:afterLines="50" w:line="360" w:lineRule="auto"/>
        <w:ind w:firstLine="420" w:firstLineChars="200"/>
        <w:rPr>
          <w:rFonts w:ascii="宋体" w:hAnsi="宋体"/>
          <w:b/>
          <w:color w:val="auto"/>
          <w:szCs w:val="21"/>
        </w:rPr>
      </w:pPr>
      <w:r>
        <w:rPr>
          <w:rFonts w:hint="eastAsia" w:ascii="宋体" w:hAnsi="宋体"/>
          <w:b/>
          <w:color w:val="auto"/>
          <w:szCs w:val="21"/>
        </w:rPr>
        <w:t>1</w:t>
      </w:r>
      <w:r>
        <w:rPr>
          <w:rFonts w:ascii="宋体" w:hAnsi="宋体"/>
          <w:b/>
          <w:color w:val="auto"/>
          <w:szCs w:val="21"/>
        </w:rPr>
        <w:t>、处置子公司</w:t>
      </w:r>
    </w:p>
    <w:p>
      <w:pPr>
        <w:spacing w:line="360" w:lineRule="auto"/>
        <w:ind w:firstLine="420" w:firstLineChars="200"/>
        <w:rPr>
          <w:b/>
          <w:bCs/>
          <w:color w:val="auto"/>
          <w:kern w:val="28"/>
          <w:szCs w:val="21"/>
        </w:rPr>
      </w:pPr>
      <w:r>
        <w:rPr>
          <w:b/>
          <w:bCs/>
          <w:color w:val="auto"/>
          <w:kern w:val="28"/>
          <w:szCs w:val="21"/>
        </w:rPr>
        <w:t>通过多次交易分步处置对子公司投资且在本期丧失控制权的情况</w:t>
      </w:r>
    </w:p>
    <w:p>
      <w:pPr>
        <w:spacing w:line="360" w:lineRule="auto"/>
        <w:ind w:firstLine="420" w:firstLineChars="200"/>
        <w:jc w:val="left"/>
        <w:rPr>
          <w:color w:val="auto"/>
          <w:szCs w:val="21"/>
        </w:rPr>
      </w:pPr>
      <w:r>
        <w:rPr>
          <w:color w:val="auto"/>
          <w:szCs w:val="21"/>
        </w:rPr>
        <w:t>一揽子交易</w:t>
      </w:r>
    </w:p>
    <w:tbl>
      <w:tblPr>
        <w:tblStyle w:val="9"/>
        <w:tblW w:w="9570" w:type="dxa"/>
        <w:tblInd w:w="2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638"/>
        <w:gridCol w:w="639"/>
        <w:gridCol w:w="639"/>
        <w:gridCol w:w="639"/>
        <w:gridCol w:w="639"/>
        <w:gridCol w:w="636"/>
        <w:gridCol w:w="636"/>
        <w:gridCol w:w="636"/>
        <w:gridCol w:w="636"/>
        <w:gridCol w:w="636"/>
        <w:gridCol w:w="640"/>
        <w:gridCol w:w="639"/>
        <w:gridCol w:w="639"/>
        <w:gridCol w:w="639"/>
        <w:gridCol w:w="6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tblHeader/>
        </w:trPr>
        <w:tc>
          <w:tcPr>
            <w:tcW w:w="638" w:type="dxa"/>
            <w:tcBorders>
              <w:top w:val="single" w:color="auto" w:sz="12" w:space="0"/>
              <w:bottom w:val="single" w:color="auto" w:sz="12" w:space="0"/>
            </w:tcBorders>
            <w:vAlign w:val="center"/>
          </w:tcPr>
          <w:p>
            <w:pPr>
              <w:jc w:val="center"/>
              <w:rPr>
                <w:color w:val="auto"/>
                <w:sz w:val="13"/>
                <w:szCs w:val="18"/>
              </w:rPr>
            </w:pPr>
            <w:r>
              <w:rPr>
                <w:color w:val="auto"/>
                <w:sz w:val="13"/>
                <w:szCs w:val="18"/>
              </w:rPr>
              <w:t>子公司名称</w:t>
            </w:r>
          </w:p>
        </w:tc>
        <w:tc>
          <w:tcPr>
            <w:tcW w:w="639" w:type="dxa"/>
            <w:tcBorders>
              <w:top w:val="single" w:color="auto" w:sz="12" w:space="0"/>
              <w:bottom w:val="single" w:color="auto" w:sz="12" w:space="0"/>
            </w:tcBorders>
            <w:vAlign w:val="center"/>
          </w:tcPr>
          <w:p>
            <w:pPr>
              <w:jc w:val="center"/>
              <w:rPr>
                <w:color w:val="auto"/>
                <w:sz w:val="13"/>
                <w:szCs w:val="18"/>
              </w:rPr>
            </w:pPr>
            <w:r>
              <w:rPr>
                <w:color w:val="auto"/>
                <w:sz w:val="13"/>
                <w:szCs w:val="18"/>
              </w:rPr>
              <w:t>股权处置时点</w:t>
            </w:r>
          </w:p>
        </w:tc>
        <w:tc>
          <w:tcPr>
            <w:tcW w:w="639" w:type="dxa"/>
            <w:tcBorders>
              <w:top w:val="single" w:color="auto" w:sz="12" w:space="0"/>
              <w:bottom w:val="single" w:color="auto" w:sz="12" w:space="0"/>
            </w:tcBorders>
            <w:vAlign w:val="center"/>
          </w:tcPr>
          <w:p>
            <w:pPr>
              <w:jc w:val="center"/>
              <w:rPr>
                <w:color w:val="auto"/>
                <w:sz w:val="13"/>
                <w:szCs w:val="18"/>
              </w:rPr>
            </w:pPr>
            <w:r>
              <w:rPr>
                <w:color w:val="auto"/>
                <w:sz w:val="13"/>
                <w:szCs w:val="18"/>
              </w:rPr>
              <w:t>股权处置价款</w:t>
            </w:r>
          </w:p>
        </w:tc>
        <w:tc>
          <w:tcPr>
            <w:tcW w:w="639" w:type="dxa"/>
            <w:tcBorders>
              <w:top w:val="single" w:color="auto" w:sz="12" w:space="0"/>
              <w:bottom w:val="single" w:color="auto" w:sz="12" w:space="0"/>
            </w:tcBorders>
            <w:vAlign w:val="center"/>
          </w:tcPr>
          <w:p>
            <w:pPr>
              <w:jc w:val="center"/>
              <w:rPr>
                <w:color w:val="auto"/>
                <w:sz w:val="13"/>
                <w:szCs w:val="18"/>
              </w:rPr>
            </w:pPr>
            <w:r>
              <w:rPr>
                <w:color w:val="auto"/>
                <w:sz w:val="13"/>
                <w:szCs w:val="18"/>
              </w:rPr>
              <w:t>股权处置比例</w:t>
            </w:r>
          </w:p>
        </w:tc>
        <w:tc>
          <w:tcPr>
            <w:tcW w:w="639" w:type="dxa"/>
            <w:tcBorders>
              <w:top w:val="single" w:color="auto" w:sz="12" w:space="0"/>
              <w:bottom w:val="single" w:color="auto" w:sz="12" w:space="0"/>
            </w:tcBorders>
            <w:vAlign w:val="center"/>
          </w:tcPr>
          <w:p>
            <w:pPr>
              <w:jc w:val="center"/>
              <w:rPr>
                <w:color w:val="auto"/>
                <w:sz w:val="13"/>
                <w:szCs w:val="18"/>
              </w:rPr>
            </w:pPr>
            <w:r>
              <w:rPr>
                <w:color w:val="auto"/>
                <w:sz w:val="13"/>
                <w:szCs w:val="18"/>
              </w:rPr>
              <w:t>股权处置方式</w:t>
            </w:r>
          </w:p>
        </w:tc>
        <w:tc>
          <w:tcPr>
            <w:tcW w:w="636" w:type="dxa"/>
            <w:tcBorders>
              <w:top w:val="single" w:color="auto" w:sz="12" w:space="0"/>
              <w:bottom w:val="single" w:color="auto" w:sz="12" w:space="0"/>
            </w:tcBorders>
            <w:vAlign w:val="center"/>
          </w:tcPr>
          <w:p>
            <w:pPr>
              <w:jc w:val="center"/>
              <w:rPr>
                <w:color w:val="auto"/>
                <w:sz w:val="13"/>
                <w:szCs w:val="18"/>
              </w:rPr>
            </w:pPr>
            <w:r>
              <w:rPr>
                <w:color w:val="auto"/>
                <w:sz w:val="13"/>
                <w:szCs w:val="18"/>
              </w:rPr>
              <w:t>处置价款与处置投资对应的合并财务报表层面享有该子公司净资产份额的差额</w:t>
            </w:r>
          </w:p>
        </w:tc>
        <w:tc>
          <w:tcPr>
            <w:tcW w:w="636" w:type="dxa"/>
            <w:tcBorders>
              <w:top w:val="single" w:color="auto" w:sz="12" w:space="0"/>
              <w:bottom w:val="single" w:color="auto" w:sz="12" w:space="0"/>
            </w:tcBorders>
            <w:vAlign w:val="center"/>
          </w:tcPr>
          <w:p>
            <w:pPr>
              <w:jc w:val="center"/>
              <w:rPr>
                <w:color w:val="auto"/>
                <w:sz w:val="13"/>
                <w:szCs w:val="18"/>
              </w:rPr>
            </w:pPr>
            <w:r>
              <w:rPr>
                <w:color w:val="auto"/>
                <w:sz w:val="13"/>
                <w:szCs w:val="18"/>
              </w:rPr>
              <w:t>丧失控制权的时点</w:t>
            </w:r>
          </w:p>
        </w:tc>
        <w:tc>
          <w:tcPr>
            <w:tcW w:w="636" w:type="dxa"/>
            <w:tcBorders>
              <w:top w:val="single" w:color="auto" w:sz="12" w:space="0"/>
              <w:bottom w:val="single" w:color="auto" w:sz="12" w:space="0"/>
            </w:tcBorders>
            <w:vAlign w:val="center"/>
          </w:tcPr>
          <w:p>
            <w:pPr>
              <w:jc w:val="center"/>
              <w:rPr>
                <w:color w:val="auto"/>
                <w:sz w:val="13"/>
                <w:szCs w:val="18"/>
              </w:rPr>
            </w:pPr>
            <w:r>
              <w:rPr>
                <w:color w:val="auto"/>
                <w:sz w:val="13"/>
                <w:szCs w:val="18"/>
              </w:rPr>
              <w:t>丧失控制权时点的确定依据</w:t>
            </w:r>
          </w:p>
        </w:tc>
        <w:tc>
          <w:tcPr>
            <w:tcW w:w="636" w:type="dxa"/>
            <w:tcBorders>
              <w:top w:val="single" w:color="auto" w:sz="12" w:space="0"/>
              <w:bottom w:val="single" w:color="auto" w:sz="12" w:space="0"/>
            </w:tcBorders>
            <w:vAlign w:val="center"/>
          </w:tcPr>
          <w:p>
            <w:pPr>
              <w:jc w:val="center"/>
              <w:rPr>
                <w:color w:val="auto"/>
                <w:sz w:val="13"/>
                <w:szCs w:val="18"/>
              </w:rPr>
            </w:pPr>
            <w:r>
              <w:rPr>
                <w:color w:val="auto"/>
                <w:sz w:val="13"/>
                <w:szCs w:val="18"/>
              </w:rPr>
              <w:t>丧失控制权之日剩余股权的比例</w:t>
            </w:r>
          </w:p>
        </w:tc>
        <w:tc>
          <w:tcPr>
            <w:tcW w:w="636" w:type="dxa"/>
            <w:tcBorders>
              <w:top w:val="single" w:color="auto" w:sz="12" w:space="0"/>
              <w:bottom w:val="single" w:color="auto" w:sz="12" w:space="0"/>
            </w:tcBorders>
            <w:vAlign w:val="center"/>
          </w:tcPr>
          <w:p>
            <w:pPr>
              <w:jc w:val="center"/>
              <w:rPr>
                <w:color w:val="auto"/>
                <w:sz w:val="13"/>
                <w:szCs w:val="18"/>
              </w:rPr>
            </w:pPr>
            <w:r>
              <w:rPr>
                <w:color w:val="auto"/>
                <w:sz w:val="13"/>
                <w:szCs w:val="18"/>
              </w:rPr>
              <w:t>丧失控制权之日剩余股权的账面价值</w:t>
            </w:r>
          </w:p>
        </w:tc>
        <w:tc>
          <w:tcPr>
            <w:tcW w:w="640" w:type="dxa"/>
            <w:tcBorders>
              <w:top w:val="single" w:color="auto" w:sz="12" w:space="0"/>
              <w:bottom w:val="single" w:color="auto" w:sz="12" w:space="0"/>
            </w:tcBorders>
            <w:vAlign w:val="center"/>
          </w:tcPr>
          <w:p>
            <w:pPr>
              <w:jc w:val="center"/>
              <w:rPr>
                <w:color w:val="auto"/>
                <w:sz w:val="13"/>
                <w:szCs w:val="18"/>
              </w:rPr>
            </w:pPr>
            <w:r>
              <w:rPr>
                <w:color w:val="auto"/>
                <w:sz w:val="13"/>
                <w:szCs w:val="18"/>
              </w:rPr>
              <w:t>丧失控制权之日剩余股权的公允价值</w:t>
            </w:r>
          </w:p>
        </w:tc>
        <w:tc>
          <w:tcPr>
            <w:tcW w:w="639" w:type="dxa"/>
            <w:tcBorders>
              <w:top w:val="single" w:color="auto" w:sz="12" w:space="0"/>
              <w:bottom w:val="single" w:color="auto" w:sz="12" w:space="0"/>
            </w:tcBorders>
            <w:vAlign w:val="center"/>
          </w:tcPr>
          <w:p>
            <w:pPr>
              <w:jc w:val="center"/>
              <w:rPr>
                <w:color w:val="auto"/>
                <w:sz w:val="13"/>
                <w:szCs w:val="18"/>
              </w:rPr>
            </w:pPr>
            <w:r>
              <w:rPr>
                <w:color w:val="auto"/>
                <w:sz w:val="13"/>
                <w:szCs w:val="18"/>
              </w:rPr>
              <w:t>按照公允价值重新计量剩余股权产生的利得或损失</w:t>
            </w:r>
          </w:p>
        </w:tc>
        <w:tc>
          <w:tcPr>
            <w:tcW w:w="639" w:type="dxa"/>
            <w:tcBorders>
              <w:top w:val="single" w:color="auto" w:sz="12" w:space="0"/>
              <w:bottom w:val="single" w:color="auto" w:sz="12" w:space="0"/>
            </w:tcBorders>
            <w:vAlign w:val="center"/>
          </w:tcPr>
          <w:p>
            <w:pPr>
              <w:jc w:val="center"/>
              <w:rPr>
                <w:color w:val="auto"/>
                <w:sz w:val="13"/>
                <w:szCs w:val="18"/>
              </w:rPr>
            </w:pPr>
            <w:r>
              <w:rPr>
                <w:color w:val="auto"/>
                <w:sz w:val="13"/>
                <w:szCs w:val="18"/>
              </w:rPr>
              <w:t>丧失控制权之日剩余股权公允价值的确定方法及主要假设</w:t>
            </w:r>
          </w:p>
        </w:tc>
        <w:tc>
          <w:tcPr>
            <w:tcW w:w="639" w:type="dxa"/>
            <w:tcBorders>
              <w:top w:val="single" w:color="auto" w:sz="12" w:space="0"/>
              <w:bottom w:val="single" w:color="auto" w:sz="12" w:space="0"/>
            </w:tcBorders>
            <w:vAlign w:val="center"/>
          </w:tcPr>
          <w:p>
            <w:pPr>
              <w:jc w:val="center"/>
              <w:rPr>
                <w:color w:val="auto"/>
                <w:sz w:val="13"/>
                <w:szCs w:val="18"/>
              </w:rPr>
            </w:pPr>
            <w:r>
              <w:rPr>
                <w:color w:val="auto"/>
                <w:sz w:val="13"/>
                <w:szCs w:val="18"/>
              </w:rPr>
              <w:t>与原子公司股权投资相关的其他综合收益转入投资损益的金额</w:t>
            </w:r>
          </w:p>
        </w:tc>
        <w:tc>
          <w:tcPr>
            <w:tcW w:w="639" w:type="dxa"/>
            <w:tcBorders>
              <w:top w:val="single" w:color="auto" w:sz="12" w:space="0"/>
              <w:bottom w:val="single" w:color="auto" w:sz="12" w:space="0"/>
            </w:tcBorders>
            <w:vAlign w:val="center"/>
          </w:tcPr>
          <w:p>
            <w:pPr>
              <w:jc w:val="center"/>
              <w:rPr>
                <w:color w:val="auto"/>
                <w:sz w:val="13"/>
                <w:szCs w:val="18"/>
              </w:rPr>
            </w:pPr>
            <w:r>
              <w:rPr>
                <w:color w:val="auto"/>
                <w:sz w:val="13"/>
                <w:szCs w:val="18"/>
              </w:rPr>
              <w:t>丧失控制权之前的各步交易处置价款与处置投资对应的合并财务报表层面享有该子公司净资产份额的差额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38" w:type="dxa"/>
            <w:vMerge w:val="restart"/>
            <w:tcBorders>
              <w:top w:val="single" w:color="auto" w:sz="12" w:space="0"/>
            </w:tcBorders>
            <w:vAlign w:val="center"/>
          </w:tcPr>
          <w:p>
            <w:pPr>
              <w:jc w:val="center"/>
              <w:rPr>
                <w:color w:val="auto"/>
                <w:sz w:val="13"/>
                <w:szCs w:val="18"/>
              </w:rPr>
            </w:pPr>
            <w:r>
              <w:rPr>
                <w:rFonts w:ascii="宋体" w:hAnsi="宋体" w:cs="宋体"/>
                <w:color w:val="auto"/>
                <w:sz w:val="13"/>
                <w:szCs w:val="18"/>
              </w:rPr>
              <w:t>青岛即聚机电有限责任公司</w:t>
            </w:r>
          </w:p>
          <w:p>
            <w:pPr>
              <w:jc w:val="center"/>
              <w:rPr>
                <w:color w:val="auto"/>
                <w:sz w:val="13"/>
                <w:szCs w:val="18"/>
              </w:rPr>
            </w:pPr>
          </w:p>
        </w:tc>
        <w:tc>
          <w:tcPr>
            <w:tcW w:w="639" w:type="dxa"/>
            <w:tcBorders>
              <w:top w:val="single" w:color="auto" w:sz="12" w:space="0"/>
            </w:tcBorders>
            <w:vAlign w:val="center"/>
          </w:tcPr>
          <w:p>
            <w:pPr>
              <w:jc w:val="center"/>
              <w:rPr>
                <w:color w:val="auto"/>
                <w:sz w:val="13"/>
                <w:szCs w:val="18"/>
              </w:rPr>
            </w:pPr>
            <w:r>
              <w:rPr>
                <w:rFonts w:ascii="宋体" w:hAnsi="宋体" w:cs="宋体"/>
                <w:color w:val="auto"/>
                <w:sz w:val="13"/>
                <w:szCs w:val="18"/>
              </w:rPr>
              <w:t>2022年01月10日</w:t>
            </w:r>
          </w:p>
        </w:tc>
        <w:tc>
          <w:tcPr>
            <w:tcW w:w="639" w:type="dxa"/>
            <w:tcBorders>
              <w:top w:val="single" w:color="auto" w:sz="12" w:space="0"/>
            </w:tcBorders>
            <w:vAlign w:val="center"/>
          </w:tcPr>
          <w:p>
            <w:pPr>
              <w:jc w:val="center"/>
              <w:rPr>
                <w:color w:val="auto"/>
                <w:sz w:val="13"/>
                <w:szCs w:val="18"/>
              </w:rPr>
            </w:pPr>
            <w:r>
              <w:rPr>
                <w:rFonts w:ascii="宋体" w:hAnsi="宋体" w:cs="宋体"/>
                <w:color w:val="auto"/>
                <w:sz w:val="13"/>
                <w:szCs w:val="18"/>
              </w:rPr>
              <w:t>24,500,000.00</w:t>
            </w:r>
          </w:p>
        </w:tc>
        <w:tc>
          <w:tcPr>
            <w:tcW w:w="639" w:type="dxa"/>
            <w:tcBorders>
              <w:top w:val="single" w:color="auto" w:sz="12" w:space="0"/>
            </w:tcBorders>
            <w:vAlign w:val="center"/>
          </w:tcPr>
          <w:p>
            <w:pPr>
              <w:jc w:val="center"/>
              <w:rPr>
                <w:color w:val="auto"/>
                <w:sz w:val="13"/>
                <w:szCs w:val="18"/>
              </w:rPr>
            </w:pPr>
            <w:r>
              <w:rPr>
                <w:rFonts w:ascii="宋体" w:hAnsi="宋体" w:cs="宋体"/>
                <w:color w:val="auto"/>
                <w:sz w:val="13"/>
                <w:szCs w:val="18"/>
              </w:rPr>
              <w:t>49.00%</w:t>
            </w:r>
          </w:p>
        </w:tc>
        <w:tc>
          <w:tcPr>
            <w:tcW w:w="639" w:type="dxa"/>
            <w:tcBorders>
              <w:top w:val="single" w:color="auto" w:sz="12" w:space="0"/>
            </w:tcBorders>
            <w:vAlign w:val="center"/>
          </w:tcPr>
          <w:p>
            <w:pPr>
              <w:jc w:val="center"/>
              <w:rPr>
                <w:color w:val="auto"/>
                <w:sz w:val="13"/>
                <w:szCs w:val="18"/>
              </w:rPr>
            </w:pPr>
            <w:r>
              <w:rPr>
                <w:rFonts w:ascii="宋体" w:hAnsi="宋体" w:cs="宋体"/>
                <w:color w:val="auto"/>
                <w:sz w:val="13"/>
                <w:szCs w:val="18"/>
              </w:rPr>
              <w:t>转让</w:t>
            </w:r>
          </w:p>
        </w:tc>
        <w:tc>
          <w:tcPr>
            <w:tcW w:w="636" w:type="dxa"/>
            <w:tcBorders>
              <w:top w:val="single" w:color="auto" w:sz="12" w:space="0"/>
            </w:tcBorders>
            <w:vAlign w:val="center"/>
          </w:tcPr>
          <w:p>
            <w:pPr>
              <w:jc w:val="center"/>
              <w:rPr>
                <w:color w:val="auto"/>
                <w:sz w:val="13"/>
                <w:szCs w:val="18"/>
              </w:rPr>
            </w:pPr>
            <w:r>
              <w:rPr>
                <w:rFonts w:ascii="宋体" w:hAnsi="宋体" w:cs="宋体"/>
                <w:color w:val="auto"/>
                <w:sz w:val="13"/>
                <w:szCs w:val="18"/>
              </w:rPr>
              <w:t>20,404,169.31</w:t>
            </w:r>
          </w:p>
        </w:tc>
        <w:tc>
          <w:tcPr>
            <w:tcW w:w="636" w:type="dxa"/>
            <w:vMerge w:val="restart"/>
            <w:tcBorders>
              <w:top w:val="single" w:color="auto" w:sz="12" w:space="0"/>
            </w:tcBorders>
            <w:vAlign w:val="center"/>
          </w:tcPr>
          <w:p>
            <w:pPr>
              <w:jc w:val="center"/>
              <w:rPr>
                <w:color w:val="auto"/>
                <w:sz w:val="13"/>
                <w:szCs w:val="18"/>
              </w:rPr>
            </w:pPr>
            <w:r>
              <w:rPr>
                <w:rFonts w:ascii="宋体" w:hAnsi="宋体" w:cs="宋体"/>
                <w:color w:val="auto"/>
                <w:sz w:val="13"/>
                <w:szCs w:val="18"/>
              </w:rPr>
              <w:t>2022年05月13日</w:t>
            </w:r>
          </w:p>
        </w:tc>
        <w:tc>
          <w:tcPr>
            <w:tcW w:w="636" w:type="dxa"/>
            <w:vMerge w:val="restart"/>
            <w:tcBorders>
              <w:top w:val="single" w:color="auto" w:sz="12" w:space="0"/>
            </w:tcBorders>
            <w:vAlign w:val="center"/>
          </w:tcPr>
          <w:p>
            <w:pPr>
              <w:jc w:val="center"/>
              <w:rPr>
                <w:color w:val="auto"/>
                <w:sz w:val="13"/>
                <w:szCs w:val="18"/>
              </w:rPr>
            </w:pPr>
            <w:r>
              <w:rPr>
                <w:rFonts w:ascii="宋体" w:hAnsi="宋体" w:cs="宋体"/>
                <w:color w:val="auto"/>
                <w:sz w:val="13"/>
                <w:szCs w:val="18"/>
              </w:rPr>
              <w:t>股权交割，工商变更</w:t>
            </w:r>
          </w:p>
        </w:tc>
        <w:tc>
          <w:tcPr>
            <w:tcW w:w="636" w:type="dxa"/>
            <w:vMerge w:val="restart"/>
            <w:tcBorders>
              <w:top w:val="single" w:color="auto" w:sz="12" w:space="0"/>
            </w:tcBorders>
            <w:vAlign w:val="center"/>
          </w:tcPr>
          <w:p>
            <w:pPr>
              <w:jc w:val="center"/>
              <w:rPr>
                <w:color w:val="auto"/>
                <w:sz w:val="13"/>
                <w:szCs w:val="18"/>
              </w:rPr>
            </w:pPr>
            <w:r>
              <w:rPr>
                <w:rFonts w:ascii="宋体" w:hAnsi="宋体" w:cs="宋体"/>
                <w:color w:val="auto"/>
                <w:sz w:val="13"/>
                <w:szCs w:val="18"/>
              </w:rPr>
              <w:t>0.00%</w:t>
            </w:r>
          </w:p>
        </w:tc>
        <w:tc>
          <w:tcPr>
            <w:tcW w:w="636" w:type="dxa"/>
            <w:vMerge w:val="restart"/>
            <w:tcBorders>
              <w:top w:val="single" w:color="auto" w:sz="12" w:space="0"/>
            </w:tcBorders>
            <w:vAlign w:val="center"/>
          </w:tcPr>
          <w:p>
            <w:pPr>
              <w:jc w:val="center"/>
              <w:rPr>
                <w:color w:val="auto"/>
                <w:sz w:val="13"/>
                <w:szCs w:val="18"/>
              </w:rPr>
            </w:pPr>
            <w:r>
              <w:rPr>
                <w:rFonts w:ascii="宋体" w:hAnsi="宋体" w:cs="宋体"/>
                <w:color w:val="auto"/>
                <w:sz w:val="13"/>
                <w:szCs w:val="18"/>
              </w:rPr>
              <w:t>0.00</w:t>
            </w:r>
          </w:p>
        </w:tc>
        <w:tc>
          <w:tcPr>
            <w:tcW w:w="640" w:type="dxa"/>
            <w:vMerge w:val="restart"/>
            <w:tcBorders>
              <w:top w:val="single" w:color="auto" w:sz="12" w:space="0"/>
            </w:tcBorders>
            <w:vAlign w:val="center"/>
          </w:tcPr>
          <w:p>
            <w:pPr>
              <w:jc w:val="center"/>
              <w:rPr>
                <w:color w:val="auto"/>
                <w:sz w:val="13"/>
                <w:szCs w:val="18"/>
              </w:rPr>
            </w:pPr>
            <w:r>
              <w:rPr>
                <w:rFonts w:ascii="宋体" w:hAnsi="宋体" w:cs="宋体"/>
                <w:color w:val="auto"/>
                <w:sz w:val="13"/>
                <w:szCs w:val="18"/>
              </w:rPr>
              <w:t>0.00</w:t>
            </w:r>
          </w:p>
        </w:tc>
        <w:tc>
          <w:tcPr>
            <w:tcW w:w="639" w:type="dxa"/>
            <w:vMerge w:val="restart"/>
            <w:tcBorders>
              <w:top w:val="single" w:color="auto" w:sz="12" w:space="0"/>
            </w:tcBorders>
            <w:vAlign w:val="center"/>
          </w:tcPr>
          <w:p>
            <w:pPr>
              <w:jc w:val="center"/>
              <w:rPr>
                <w:color w:val="auto"/>
                <w:sz w:val="13"/>
                <w:szCs w:val="18"/>
              </w:rPr>
            </w:pPr>
            <w:r>
              <w:rPr>
                <w:rFonts w:ascii="宋体" w:hAnsi="宋体" w:cs="宋体"/>
                <w:color w:val="auto"/>
                <w:sz w:val="13"/>
                <w:szCs w:val="18"/>
              </w:rPr>
              <w:t>0.00</w:t>
            </w:r>
          </w:p>
        </w:tc>
        <w:tc>
          <w:tcPr>
            <w:tcW w:w="639" w:type="dxa"/>
            <w:vMerge w:val="restart"/>
            <w:tcBorders>
              <w:top w:val="single" w:color="auto" w:sz="12" w:space="0"/>
            </w:tcBorders>
            <w:vAlign w:val="center"/>
          </w:tcPr>
          <w:p>
            <w:pPr>
              <w:jc w:val="center"/>
              <w:rPr>
                <w:color w:val="auto"/>
                <w:sz w:val="13"/>
                <w:szCs w:val="18"/>
              </w:rPr>
            </w:pPr>
            <w:r>
              <w:rPr>
                <w:rFonts w:ascii="宋体" w:hAnsi="宋体" w:cs="宋体"/>
                <w:color w:val="auto"/>
                <w:sz w:val="13"/>
                <w:szCs w:val="18"/>
              </w:rPr>
              <w:t>参考交易价格</w:t>
            </w:r>
          </w:p>
        </w:tc>
        <w:tc>
          <w:tcPr>
            <w:tcW w:w="639" w:type="dxa"/>
            <w:vMerge w:val="restart"/>
            <w:tcBorders>
              <w:top w:val="single" w:color="auto" w:sz="12" w:space="0"/>
            </w:tcBorders>
            <w:vAlign w:val="center"/>
          </w:tcPr>
          <w:p>
            <w:pPr>
              <w:jc w:val="center"/>
              <w:rPr>
                <w:color w:val="auto"/>
                <w:sz w:val="13"/>
                <w:szCs w:val="18"/>
              </w:rPr>
            </w:pPr>
            <w:r>
              <w:rPr>
                <w:rFonts w:ascii="宋体" w:hAnsi="宋体" w:cs="宋体"/>
                <w:color w:val="auto"/>
                <w:sz w:val="13"/>
                <w:szCs w:val="18"/>
              </w:rPr>
              <w:t>0.00</w:t>
            </w:r>
          </w:p>
        </w:tc>
        <w:tc>
          <w:tcPr>
            <w:tcW w:w="639" w:type="dxa"/>
            <w:vMerge w:val="restart"/>
            <w:tcBorders>
              <w:top w:val="single" w:color="auto" w:sz="12" w:space="0"/>
            </w:tcBorders>
            <w:vAlign w:val="center"/>
          </w:tcPr>
          <w:p>
            <w:pPr>
              <w:jc w:val="center"/>
              <w:rPr>
                <w:color w:val="auto"/>
                <w:sz w:val="13"/>
                <w:szCs w:val="18"/>
              </w:rPr>
            </w:pPr>
            <w:r>
              <w:rPr>
                <w:rFonts w:ascii="宋体" w:hAnsi="宋体" w:cs="宋体"/>
                <w:color w:val="auto"/>
                <w:sz w:val="13"/>
                <w:szCs w:val="18"/>
              </w:rPr>
              <w:t>20,404,169.31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trPr>
        <w:tc>
          <w:tcPr>
            <w:tcW w:w="638" w:type="dxa"/>
            <w:vMerge w:val="continue"/>
            <w:vAlign w:val="center"/>
          </w:tcPr>
          <w:p>
            <w:pPr>
              <w:jc w:val="center"/>
              <w:rPr>
                <w:color w:val="auto"/>
                <w:sz w:val="13"/>
                <w:szCs w:val="18"/>
                <w:highlight w:val="yellow"/>
              </w:rPr>
            </w:pPr>
          </w:p>
        </w:tc>
        <w:tc>
          <w:tcPr>
            <w:tcW w:w="639" w:type="dxa"/>
            <w:vAlign w:val="center"/>
          </w:tcPr>
          <w:p>
            <w:pPr>
              <w:jc w:val="center"/>
              <w:rPr>
                <w:color w:val="auto"/>
                <w:sz w:val="13"/>
                <w:szCs w:val="18"/>
              </w:rPr>
            </w:pPr>
            <w:r>
              <w:rPr>
                <w:rFonts w:ascii="宋体" w:hAnsi="宋体" w:cs="宋体"/>
                <w:color w:val="auto"/>
                <w:sz w:val="13"/>
                <w:szCs w:val="18"/>
              </w:rPr>
              <w:t>2022年05月13日</w:t>
            </w:r>
          </w:p>
        </w:tc>
        <w:tc>
          <w:tcPr>
            <w:tcW w:w="639" w:type="dxa"/>
            <w:vAlign w:val="center"/>
          </w:tcPr>
          <w:p>
            <w:pPr>
              <w:jc w:val="center"/>
              <w:rPr>
                <w:color w:val="auto"/>
                <w:sz w:val="13"/>
                <w:szCs w:val="18"/>
              </w:rPr>
            </w:pPr>
            <w:r>
              <w:rPr>
                <w:rFonts w:ascii="宋体" w:hAnsi="宋体" w:cs="宋体"/>
                <w:color w:val="auto"/>
                <w:sz w:val="13"/>
                <w:szCs w:val="18"/>
              </w:rPr>
              <w:t>25,500,000.00</w:t>
            </w:r>
          </w:p>
        </w:tc>
        <w:tc>
          <w:tcPr>
            <w:tcW w:w="639" w:type="dxa"/>
            <w:vAlign w:val="center"/>
          </w:tcPr>
          <w:p>
            <w:pPr>
              <w:jc w:val="center"/>
              <w:rPr>
                <w:color w:val="auto"/>
                <w:sz w:val="13"/>
                <w:szCs w:val="18"/>
              </w:rPr>
            </w:pPr>
            <w:r>
              <w:rPr>
                <w:rFonts w:ascii="宋体" w:hAnsi="宋体" w:cs="宋体"/>
                <w:color w:val="auto"/>
                <w:sz w:val="13"/>
                <w:szCs w:val="18"/>
              </w:rPr>
              <w:t>51.00%</w:t>
            </w:r>
          </w:p>
        </w:tc>
        <w:tc>
          <w:tcPr>
            <w:tcW w:w="639" w:type="dxa"/>
            <w:vAlign w:val="center"/>
          </w:tcPr>
          <w:p>
            <w:pPr>
              <w:jc w:val="center"/>
              <w:rPr>
                <w:color w:val="auto"/>
                <w:sz w:val="13"/>
                <w:szCs w:val="18"/>
              </w:rPr>
            </w:pPr>
            <w:r>
              <w:rPr>
                <w:rFonts w:ascii="宋体" w:hAnsi="宋体" w:cs="宋体"/>
                <w:color w:val="auto"/>
                <w:sz w:val="13"/>
                <w:szCs w:val="18"/>
              </w:rPr>
              <w:t>转让</w:t>
            </w:r>
          </w:p>
        </w:tc>
        <w:tc>
          <w:tcPr>
            <w:tcW w:w="636" w:type="dxa"/>
            <w:vAlign w:val="center"/>
          </w:tcPr>
          <w:p>
            <w:pPr>
              <w:jc w:val="center"/>
              <w:rPr>
                <w:color w:val="auto"/>
                <w:sz w:val="13"/>
                <w:szCs w:val="18"/>
              </w:rPr>
            </w:pPr>
            <w:r>
              <w:rPr>
                <w:rFonts w:ascii="宋体" w:hAnsi="宋体" w:cs="宋体"/>
                <w:color w:val="auto"/>
                <w:sz w:val="13"/>
                <w:szCs w:val="18"/>
              </w:rPr>
              <w:t>21,236,992.55</w:t>
            </w:r>
          </w:p>
        </w:tc>
        <w:tc>
          <w:tcPr>
            <w:tcW w:w="636" w:type="dxa"/>
            <w:vMerge w:val="continue"/>
            <w:vAlign w:val="center"/>
          </w:tcPr>
          <w:p>
            <w:pPr>
              <w:jc w:val="center"/>
              <w:rPr>
                <w:color w:val="auto"/>
                <w:sz w:val="18"/>
                <w:szCs w:val="18"/>
              </w:rPr>
            </w:pPr>
          </w:p>
        </w:tc>
        <w:tc>
          <w:tcPr>
            <w:tcW w:w="636" w:type="dxa"/>
            <w:vMerge w:val="continue"/>
            <w:vAlign w:val="center"/>
          </w:tcPr>
          <w:p>
            <w:pPr>
              <w:jc w:val="center"/>
              <w:rPr>
                <w:color w:val="auto"/>
                <w:sz w:val="18"/>
                <w:szCs w:val="18"/>
                <w:highlight w:val="yellow"/>
              </w:rPr>
            </w:pPr>
          </w:p>
        </w:tc>
        <w:tc>
          <w:tcPr>
            <w:tcW w:w="636" w:type="dxa"/>
            <w:vMerge w:val="continue"/>
            <w:vAlign w:val="center"/>
          </w:tcPr>
          <w:p>
            <w:pPr>
              <w:jc w:val="center"/>
              <w:rPr>
                <w:color w:val="auto"/>
                <w:sz w:val="18"/>
                <w:szCs w:val="18"/>
                <w:highlight w:val="yellow"/>
              </w:rPr>
            </w:pPr>
          </w:p>
        </w:tc>
        <w:tc>
          <w:tcPr>
            <w:tcW w:w="636" w:type="dxa"/>
            <w:vMerge w:val="continue"/>
            <w:vAlign w:val="center"/>
          </w:tcPr>
          <w:p>
            <w:pPr>
              <w:jc w:val="center"/>
              <w:rPr>
                <w:color w:val="auto"/>
                <w:sz w:val="18"/>
                <w:szCs w:val="18"/>
                <w:highlight w:val="yellow"/>
              </w:rPr>
            </w:pPr>
          </w:p>
        </w:tc>
        <w:tc>
          <w:tcPr>
            <w:tcW w:w="640" w:type="dxa"/>
            <w:vMerge w:val="continue"/>
            <w:vAlign w:val="center"/>
          </w:tcPr>
          <w:p>
            <w:pPr>
              <w:jc w:val="center"/>
              <w:rPr>
                <w:color w:val="auto"/>
                <w:sz w:val="18"/>
                <w:szCs w:val="18"/>
                <w:highlight w:val="yellow"/>
              </w:rPr>
            </w:pPr>
          </w:p>
        </w:tc>
        <w:tc>
          <w:tcPr>
            <w:tcW w:w="639" w:type="dxa"/>
            <w:vMerge w:val="continue"/>
            <w:vAlign w:val="center"/>
          </w:tcPr>
          <w:p>
            <w:pPr>
              <w:jc w:val="center"/>
              <w:rPr>
                <w:color w:val="auto"/>
                <w:sz w:val="18"/>
                <w:szCs w:val="18"/>
                <w:highlight w:val="yellow"/>
              </w:rPr>
            </w:pPr>
          </w:p>
        </w:tc>
        <w:tc>
          <w:tcPr>
            <w:tcW w:w="639" w:type="dxa"/>
            <w:vMerge w:val="continue"/>
            <w:vAlign w:val="center"/>
          </w:tcPr>
          <w:p>
            <w:pPr>
              <w:jc w:val="center"/>
              <w:rPr>
                <w:color w:val="auto"/>
                <w:sz w:val="18"/>
                <w:szCs w:val="18"/>
                <w:highlight w:val="yellow"/>
              </w:rPr>
            </w:pPr>
          </w:p>
        </w:tc>
        <w:tc>
          <w:tcPr>
            <w:tcW w:w="639" w:type="dxa"/>
            <w:vMerge w:val="continue"/>
            <w:vAlign w:val="center"/>
          </w:tcPr>
          <w:p>
            <w:pPr>
              <w:jc w:val="center"/>
              <w:rPr>
                <w:color w:val="auto"/>
                <w:sz w:val="18"/>
                <w:szCs w:val="18"/>
                <w:highlight w:val="yellow"/>
              </w:rPr>
            </w:pPr>
          </w:p>
        </w:tc>
        <w:tc>
          <w:tcPr>
            <w:tcW w:w="639" w:type="dxa"/>
            <w:vMerge w:val="continue"/>
            <w:vAlign w:val="center"/>
          </w:tcPr>
          <w:p>
            <w:pPr>
              <w:jc w:val="center"/>
              <w:rPr>
                <w:color w:val="auto"/>
                <w:sz w:val="18"/>
                <w:szCs w:val="18"/>
                <w:highlight w:val="yellow"/>
              </w:rPr>
            </w:pPr>
          </w:p>
        </w:tc>
      </w:tr>
    </w:tbl>
    <w:p>
      <w:pPr>
        <w:spacing w:line="360" w:lineRule="auto"/>
        <w:ind w:firstLine="420" w:firstLineChars="200"/>
        <w:jc w:val="left"/>
        <w:rPr>
          <w:color w:val="auto"/>
          <w:szCs w:val="21"/>
        </w:rPr>
      </w:pPr>
      <w:r>
        <w:rPr>
          <w:color w:val="auto"/>
          <w:szCs w:val="21"/>
        </w:rPr>
        <w:t>分步处置股权至丧失控制权过程中的各项交易构成一揽子交易的原因：</w:t>
      </w:r>
    </w:p>
    <w:p>
      <w:pPr>
        <w:spacing w:line="360" w:lineRule="auto"/>
        <w:ind w:firstLine="420" w:firstLineChars="200"/>
        <w:jc w:val="left"/>
        <w:rPr>
          <w:color w:val="auto"/>
          <w:szCs w:val="21"/>
        </w:rPr>
      </w:pPr>
      <w:r>
        <w:rPr>
          <w:rFonts w:hint="eastAsia"/>
          <w:color w:val="auto"/>
          <w:szCs w:val="21"/>
        </w:rPr>
        <w:t>该交易是同时或者在考虑了彼此影响的情况下订立的；该交易的整体才能达成一项整体的商业结果。</w:t>
      </w:r>
    </w:p>
    <w:p>
      <w:pPr>
        <w:pStyle w:val="16"/>
        <w:numPr>
          <w:ilvl w:val="0"/>
          <w:numId w:val="2"/>
        </w:numPr>
        <w:spacing w:before="150" w:beforeLines="50" w:after="150" w:afterLines="50" w:line="360" w:lineRule="auto"/>
        <w:rPr>
          <w:rFonts w:ascii="宋体" w:hAnsi="宋体"/>
          <w:b/>
          <w:color w:val="auto"/>
          <w:szCs w:val="21"/>
        </w:rPr>
      </w:pPr>
      <w:r>
        <w:rPr>
          <w:rFonts w:ascii="宋体" w:hAnsi="宋体"/>
          <w:b/>
          <w:color w:val="auto"/>
          <w:szCs w:val="21"/>
        </w:rPr>
        <w:t>其他原因的合并范围变动</w:t>
      </w:r>
    </w:p>
    <w:p>
      <w:pPr>
        <w:spacing w:before="150" w:beforeLines="50" w:after="150" w:afterLines="50" w:line="360" w:lineRule="auto"/>
        <w:ind w:right="119" w:firstLine="420" w:firstLineChars="200"/>
        <w:rPr>
          <w:rFonts w:ascii="宋体" w:hAnsi="宋体"/>
          <w:b/>
          <w:bCs/>
          <w:color w:val="auto"/>
          <w:szCs w:val="21"/>
        </w:rPr>
      </w:pPr>
      <w:r>
        <w:rPr>
          <w:rFonts w:hint="eastAsia" w:ascii="宋体" w:hAnsi="宋体"/>
          <w:b/>
          <w:bCs/>
          <w:color w:val="auto"/>
          <w:szCs w:val="21"/>
        </w:rPr>
        <w:t>新设非全资子公司</w:t>
      </w:r>
    </w:p>
    <w:p>
      <w:pPr>
        <w:spacing w:line="360" w:lineRule="auto"/>
        <w:ind w:firstLine="420" w:firstLineChars="200"/>
        <w:jc w:val="left"/>
        <w:rPr>
          <w:rFonts w:ascii="宋体" w:hAnsi="宋体"/>
          <w:color w:val="auto"/>
          <w:szCs w:val="21"/>
        </w:rPr>
      </w:pPr>
      <w:r>
        <w:rPr>
          <w:rFonts w:hint="eastAsia" w:ascii="宋体" w:hAnsi="宋体"/>
          <w:color w:val="auto"/>
          <w:szCs w:val="21"/>
        </w:rPr>
        <w:t>2022年1月19日本公司与上海天诚东泰投资有限公司（以下简称“天诚东泰”）、青岛天诚股权投资基金管理有限公司（以下简称“青岛天诚”）合作成立海南伟隆投资有限公司，主要从事投资活动、创业投资（限投资未上市企业）、资产评估、招投标代理服务、非融资担保服务、认证咨询、企业管理咨询、社会经济咨询服务、融资咨询服务、个人商务服务。注册资本10,000.00万元人民币，其中公司以自有资金出资6,000.00万元人民币，占注册资本的60.00%，天诚东泰以自有资金出资3,900.00万元人民币，占注册资本39.00%，青岛天诚以自有资金出资100.00万元人民币，占注册资本的1.00%。</w:t>
      </w:r>
    </w:p>
    <w:p>
      <w:pPr>
        <w:tabs>
          <w:tab w:val="left" w:pos="3924"/>
        </w:tabs>
        <w:spacing w:before="150" w:beforeLines="50" w:after="150" w:afterLines="50" w:line="360" w:lineRule="auto"/>
        <w:ind w:firstLine="480" w:firstLineChars="200"/>
        <w:outlineLvl w:val="0"/>
        <w:rPr>
          <w:rFonts w:cs="Arial" w:asciiTheme="minorEastAsia" w:hAnsiTheme="minorEastAsia" w:eastAsiaTheme="minorEastAsia"/>
          <w:b/>
          <w:bCs/>
          <w:color w:val="auto"/>
          <w:sz w:val="24"/>
          <w:szCs w:val="24"/>
        </w:rPr>
      </w:pPr>
      <w:r>
        <w:rPr>
          <w:rFonts w:hint="eastAsia" w:cs="Arial" w:asciiTheme="minorEastAsia" w:hAnsiTheme="minorEastAsia" w:eastAsiaTheme="minorEastAsia"/>
          <w:b/>
          <w:bCs/>
          <w:color w:val="auto"/>
          <w:sz w:val="24"/>
          <w:szCs w:val="24"/>
        </w:rPr>
        <w:t>七、在其他主体中的权益</w:t>
      </w:r>
      <w:r>
        <w:rPr>
          <w:rFonts w:cs="Arial" w:asciiTheme="minorEastAsia" w:hAnsiTheme="minorEastAsia" w:eastAsiaTheme="minorEastAsia"/>
          <w:b/>
          <w:bCs/>
          <w:color w:val="auto"/>
          <w:sz w:val="24"/>
          <w:szCs w:val="24"/>
        </w:rPr>
        <w:tab/>
      </w:r>
    </w:p>
    <w:p>
      <w:pPr>
        <w:spacing w:before="150" w:beforeLines="50" w:after="150" w:afterLines="50" w:line="360" w:lineRule="auto"/>
        <w:ind w:firstLine="420" w:firstLineChars="200"/>
        <w:rPr>
          <w:rFonts w:ascii="宋体" w:hAnsi="宋体"/>
          <w:b/>
          <w:color w:val="auto"/>
          <w:szCs w:val="21"/>
        </w:rPr>
      </w:pPr>
      <w:r>
        <w:rPr>
          <w:rFonts w:hint="eastAsia" w:ascii="宋体" w:hAnsi="宋体"/>
          <w:b/>
          <w:color w:val="auto"/>
          <w:szCs w:val="21"/>
        </w:rPr>
        <w:t>1、子公司中的权益：</w:t>
      </w:r>
    </w:p>
    <w:p>
      <w:pPr>
        <w:spacing w:before="150" w:beforeLines="50" w:after="150" w:afterLines="50" w:line="360" w:lineRule="auto"/>
        <w:ind w:right="119" w:firstLine="420" w:firstLineChars="200"/>
        <w:rPr>
          <w:rFonts w:ascii="宋体" w:hAnsi="宋体"/>
          <w:b/>
          <w:bCs/>
          <w:color w:val="auto"/>
          <w:szCs w:val="21"/>
        </w:rPr>
      </w:pPr>
      <w:r>
        <w:rPr>
          <w:rFonts w:hint="eastAsia" w:ascii="宋体" w:hAnsi="宋体"/>
          <w:b/>
          <w:bCs/>
          <w:color w:val="auto"/>
          <w:szCs w:val="21"/>
        </w:rPr>
        <w:t>（1）</w:t>
      </w:r>
      <w:r>
        <w:rPr>
          <w:rFonts w:ascii="宋体" w:hAnsi="宋体"/>
          <w:b/>
          <w:bCs/>
          <w:color w:val="auto"/>
          <w:szCs w:val="21"/>
        </w:rPr>
        <w:t>企业集团的构成</w:t>
      </w:r>
    </w:p>
    <w:tbl>
      <w:tblPr>
        <w:tblStyle w:val="9"/>
        <w:tblW w:w="9246" w:type="dxa"/>
        <w:jc w:val="center"/>
        <w:tblCaption w:val="&quot;\\lisheng\共享\1、伟隆2022年度审计\1、2022年度审计\1、附注及报告\2022年\附注计算-伟隆 - 2022.xlsx&quot; &quot;2022附注格式!_ReportTable_0100&quot;"/>
        <w:tblDescription w:val="A842:H851"/>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63"/>
        <w:gridCol w:w="1701"/>
        <w:gridCol w:w="1656"/>
        <w:gridCol w:w="674"/>
        <w:gridCol w:w="851"/>
        <w:gridCol w:w="708"/>
        <w:gridCol w:w="1028"/>
        <w:gridCol w:w="116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463" w:type="dxa"/>
            <w:vMerge w:val="restart"/>
            <w:tcBorders>
              <w:top w:val="single" w:color="auto" w:sz="12" w:space="0"/>
              <w:right w:val="single" w:color="auto" w:sz="4" w:space="0"/>
            </w:tcBorders>
            <w:shd w:val="clear" w:color="auto" w:fill="auto"/>
            <w:vAlign w:val="center"/>
          </w:tcPr>
          <w:p>
            <w:pPr>
              <w:spacing w:line="276" w:lineRule="auto"/>
              <w:jc w:val="center"/>
              <w:rPr>
                <w:rFonts w:cs="Arial" w:asciiTheme="minorEastAsia" w:hAnsiTheme="minorEastAsia" w:eastAsiaTheme="minorEastAsia"/>
                <w:b/>
                <w:color w:val="auto"/>
                <w:sz w:val="18"/>
                <w:szCs w:val="18"/>
              </w:rPr>
            </w:pPr>
            <w:r>
              <w:rPr>
                <w:rFonts w:hint="eastAsia" w:cs="Arial" w:asciiTheme="minorEastAsia" w:hAnsiTheme="minorEastAsia" w:eastAsiaTheme="minorEastAsia"/>
                <w:b/>
                <w:color w:val="auto"/>
                <w:sz w:val="18"/>
                <w:szCs w:val="18"/>
                <w:lang w:val="en-GB"/>
              </w:rPr>
              <w:t>子公司名称</w:t>
            </w:r>
          </w:p>
        </w:tc>
        <w:tc>
          <w:tcPr>
            <w:tcW w:w="1701" w:type="dxa"/>
            <w:vMerge w:val="restart"/>
            <w:tcBorders>
              <w:top w:val="single" w:color="auto" w:sz="12" w:space="0"/>
              <w:left w:val="single" w:color="auto" w:sz="4" w:space="0"/>
              <w:right w:val="single" w:color="auto" w:sz="4" w:space="0"/>
            </w:tcBorders>
            <w:shd w:val="clear" w:color="auto" w:fill="auto"/>
            <w:vAlign w:val="center"/>
          </w:tcPr>
          <w:p>
            <w:pPr>
              <w:spacing w:line="276" w:lineRule="auto"/>
              <w:jc w:val="center"/>
              <w:rPr>
                <w:rFonts w:cs="Arial" w:asciiTheme="minorEastAsia" w:hAnsiTheme="minorEastAsia" w:eastAsiaTheme="minorEastAsia"/>
                <w:b/>
                <w:color w:val="auto"/>
                <w:sz w:val="18"/>
                <w:szCs w:val="18"/>
              </w:rPr>
            </w:pPr>
            <w:r>
              <w:rPr>
                <w:rFonts w:hint="eastAsia" w:cs="Arial" w:asciiTheme="minorEastAsia" w:hAnsiTheme="minorEastAsia" w:eastAsiaTheme="minorEastAsia"/>
                <w:b/>
                <w:color w:val="auto"/>
                <w:sz w:val="18"/>
                <w:szCs w:val="18"/>
                <w:lang w:val="en-GB"/>
              </w:rPr>
              <w:t>主要经营地</w:t>
            </w:r>
          </w:p>
        </w:tc>
        <w:tc>
          <w:tcPr>
            <w:tcW w:w="1656" w:type="dxa"/>
            <w:vMerge w:val="restart"/>
            <w:tcBorders>
              <w:top w:val="single" w:color="auto" w:sz="12" w:space="0"/>
              <w:left w:val="single" w:color="auto" w:sz="4" w:space="0"/>
              <w:right w:val="single" w:color="auto" w:sz="4" w:space="0"/>
            </w:tcBorders>
            <w:shd w:val="clear" w:color="auto" w:fill="auto"/>
            <w:vAlign w:val="center"/>
          </w:tcPr>
          <w:p>
            <w:pPr>
              <w:spacing w:line="276" w:lineRule="auto"/>
              <w:jc w:val="center"/>
              <w:rPr>
                <w:rFonts w:cs="Arial" w:asciiTheme="minorEastAsia" w:hAnsiTheme="minorEastAsia" w:eastAsiaTheme="minorEastAsia"/>
                <w:b/>
                <w:color w:val="auto"/>
                <w:sz w:val="18"/>
                <w:szCs w:val="18"/>
              </w:rPr>
            </w:pPr>
            <w:r>
              <w:rPr>
                <w:rFonts w:hint="eastAsia" w:cs="Arial" w:asciiTheme="minorEastAsia" w:hAnsiTheme="minorEastAsia" w:eastAsiaTheme="minorEastAsia"/>
                <w:b/>
                <w:color w:val="auto"/>
                <w:sz w:val="18"/>
                <w:szCs w:val="18"/>
                <w:lang w:val="en-GB"/>
              </w:rPr>
              <w:t>注册地</w:t>
            </w:r>
          </w:p>
        </w:tc>
        <w:tc>
          <w:tcPr>
            <w:tcW w:w="674" w:type="dxa"/>
            <w:vMerge w:val="restart"/>
            <w:tcBorders>
              <w:top w:val="single" w:color="auto" w:sz="12" w:space="0"/>
              <w:left w:val="single" w:color="auto" w:sz="4" w:space="0"/>
              <w:right w:val="single" w:color="auto" w:sz="4" w:space="0"/>
            </w:tcBorders>
            <w:shd w:val="clear" w:color="auto" w:fill="auto"/>
            <w:vAlign w:val="center"/>
          </w:tcPr>
          <w:p>
            <w:pPr>
              <w:spacing w:line="276" w:lineRule="auto"/>
              <w:jc w:val="center"/>
              <w:rPr>
                <w:rFonts w:cs="Arial" w:asciiTheme="minorEastAsia" w:hAnsiTheme="minorEastAsia" w:eastAsiaTheme="minorEastAsia"/>
                <w:b/>
                <w:color w:val="auto"/>
                <w:sz w:val="18"/>
                <w:szCs w:val="18"/>
              </w:rPr>
            </w:pPr>
            <w:r>
              <w:rPr>
                <w:rFonts w:hint="eastAsia" w:cs="Arial" w:asciiTheme="minorEastAsia" w:hAnsiTheme="minorEastAsia" w:eastAsiaTheme="minorEastAsia"/>
                <w:b/>
                <w:color w:val="auto"/>
                <w:sz w:val="18"/>
                <w:szCs w:val="18"/>
                <w:lang w:val="en-GB"/>
              </w:rPr>
              <w:t>业务性质</w:t>
            </w:r>
          </w:p>
        </w:tc>
        <w:tc>
          <w:tcPr>
            <w:tcW w:w="1559" w:type="dxa"/>
            <w:gridSpan w:val="2"/>
            <w:tcBorders>
              <w:top w:val="single" w:color="auto" w:sz="12" w:space="0"/>
              <w:left w:val="single" w:color="auto" w:sz="4" w:space="0"/>
              <w:right w:val="single" w:color="auto" w:sz="4" w:space="0"/>
            </w:tcBorders>
            <w:shd w:val="clear" w:color="auto" w:fill="auto"/>
            <w:vAlign w:val="center"/>
          </w:tcPr>
          <w:p>
            <w:pPr>
              <w:spacing w:line="276" w:lineRule="auto"/>
              <w:jc w:val="center"/>
              <w:rPr>
                <w:rFonts w:cs="Arial" w:asciiTheme="minorEastAsia" w:hAnsiTheme="minorEastAsia" w:eastAsiaTheme="minorEastAsia"/>
                <w:b/>
                <w:color w:val="auto"/>
                <w:sz w:val="18"/>
                <w:szCs w:val="18"/>
              </w:rPr>
            </w:pPr>
            <w:r>
              <w:rPr>
                <w:rFonts w:hint="eastAsia" w:cs="Arial" w:asciiTheme="minorEastAsia" w:hAnsiTheme="minorEastAsia" w:eastAsiaTheme="minorEastAsia"/>
                <w:b/>
                <w:color w:val="auto"/>
                <w:sz w:val="18"/>
                <w:szCs w:val="18"/>
                <w:lang w:val="en-GB"/>
              </w:rPr>
              <w:t>持股比例（</w:t>
            </w:r>
            <w:r>
              <w:rPr>
                <w:rFonts w:cs="Arial" w:asciiTheme="minorEastAsia" w:hAnsiTheme="minorEastAsia" w:eastAsiaTheme="minorEastAsia"/>
                <w:b/>
                <w:color w:val="auto"/>
                <w:sz w:val="18"/>
                <w:szCs w:val="18"/>
                <w:lang w:val="en-GB"/>
              </w:rPr>
              <w:t>%）</w:t>
            </w:r>
          </w:p>
        </w:tc>
        <w:tc>
          <w:tcPr>
            <w:tcW w:w="1028" w:type="dxa"/>
            <w:vMerge w:val="restart"/>
            <w:tcBorders>
              <w:top w:val="single" w:color="auto" w:sz="12" w:space="0"/>
              <w:left w:val="single" w:color="auto" w:sz="4" w:space="0"/>
              <w:right w:val="single" w:color="auto" w:sz="4" w:space="0"/>
            </w:tcBorders>
            <w:shd w:val="clear" w:color="auto" w:fill="auto"/>
            <w:vAlign w:val="center"/>
          </w:tcPr>
          <w:p>
            <w:pPr>
              <w:spacing w:line="276" w:lineRule="auto"/>
              <w:jc w:val="center"/>
              <w:rPr>
                <w:rFonts w:cs="Arial" w:asciiTheme="minorEastAsia" w:hAnsiTheme="minorEastAsia" w:eastAsiaTheme="minorEastAsia"/>
                <w:b/>
                <w:color w:val="auto"/>
                <w:sz w:val="18"/>
                <w:szCs w:val="18"/>
              </w:rPr>
            </w:pPr>
            <w:r>
              <w:rPr>
                <w:rFonts w:hint="eastAsia" w:cs="Arial" w:asciiTheme="minorEastAsia" w:hAnsiTheme="minorEastAsia" w:eastAsiaTheme="minorEastAsia"/>
                <w:b/>
                <w:color w:val="auto"/>
                <w:sz w:val="18"/>
                <w:szCs w:val="18"/>
                <w:lang w:val="en-GB"/>
              </w:rPr>
              <w:t>表决权比例（</w:t>
            </w:r>
            <w:r>
              <w:rPr>
                <w:rFonts w:cs="Arial" w:asciiTheme="minorEastAsia" w:hAnsiTheme="minorEastAsia" w:eastAsiaTheme="minorEastAsia"/>
                <w:b/>
                <w:color w:val="auto"/>
                <w:sz w:val="18"/>
                <w:szCs w:val="18"/>
                <w:lang w:val="en-GB"/>
              </w:rPr>
              <w:t>%）</w:t>
            </w:r>
          </w:p>
        </w:tc>
        <w:tc>
          <w:tcPr>
            <w:tcW w:w="1165" w:type="dxa"/>
            <w:vMerge w:val="restart"/>
            <w:tcBorders>
              <w:top w:val="single" w:color="auto" w:sz="12" w:space="0"/>
              <w:left w:val="single" w:color="auto" w:sz="4" w:space="0"/>
            </w:tcBorders>
            <w:shd w:val="clear" w:color="auto" w:fill="auto"/>
            <w:vAlign w:val="center"/>
          </w:tcPr>
          <w:p>
            <w:pPr>
              <w:spacing w:line="276" w:lineRule="auto"/>
              <w:jc w:val="center"/>
              <w:rPr>
                <w:rFonts w:cs="Arial" w:asciiTheme="minorEastAsia" w:hAnsiTheme="minorEastAsia" w:eastAsiaTheme="minorEastAsia"/>
                <w:b/>
                <w:color w:val="auto"/>
                <w:sz w:val="18"/>
                <w:szCs w:val="18"/>
                <w:lang w:val="en-GB"/>
              </w:rPr>
            </w:pPr>
            <w:r>
              <w:rPr>
                <w:rFonts w:hint="eastAsia" w:cs="Arial" w:asciiTheme="minorEastAsia" w:hAnsiTheme="minorEastAsia" w:eastAsiaTheme="minorEastAsia"/>
                <w:b/>
                <w:color w:val="auto"/>
                <w:sz w:val="18"/>
                <w:szCs w:val="18"/>
                <w:lang w:val="en-GB"/>
              </w:rPr>
              <w:t>取得方式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463" w:type="dxa"/>
            <w:vMerge w:val="continue"/>
            <w:tcBorders>
              <w:bottom w:val="single" w:color="auto" w:sz="12" w:space="0"/>
              <w:right w:val="single" w:color="auto" w:sz="4" w:space="0"/>
            </w:tcBorders>
            <w:shd w:val="clear" w:color="auto" w:fill="auto"/>
            <w:vAlign w:val="center"/>
          </w:tcPr>
          <w:p>
            <w:pPr>
              <w:widowControl/>
              <w:jc w:val="center"/>
              <w:rPr>
                <w:rFonts w:cs="Arial" w:asciiTheme="minorEastAsia" w:hAnsiTheme="minorEastAsia" w:eastAsiaTheme="minorEastAsia"/>
                <w:color w:val="auto"/>
                <w:sz w:val="18"/>
                <w:szCs w:val="18"/>
              </w:rPr>
            </w:pPr>
          </w:p>
        </w:tc>
        <w:tc>
          <w:tcPr>
            <w:tcW w:w="1701" w:type="dxa"/>
            <w:vMerge w:val="continue"/>
            <w:tcBorders>
              <w:left w:val="single" w:color="auto" w:sz="4" w:space="0"/>
              <w:bottom w:val="single" w:color="auto" w:sz="12" w:space="0"/>
              <w:right w:val="single" w:color="auto" w:sz="4" w:space="0"/>
            </w:tcBorders>
            <w:shd w:val="clear" w:color="auto" w:fill="auto"/>
            <w:vAlign w:val="center"/>
          </w:tcPr>
          <w:p>
            <w:pPr>
              <w:widowControl/>
              <w:jc w:val="center"/>
              <w:rPr>
                <w:rFonts w:cs="Arial" w:asciiTheme="minorEastAsia" w:hAnsiTheme="minorEastAsia" w:eastAsiaTheme="minorEastAsia"/>
                <w:color w:val="auto"/>
                <w:sz w:val="18"/>
                <w:szCs w:val="18"/>
              </w:rPr>
            </w:pPr>
          </w:p>
        </w:tc>
        <w:tc>
          <w:tcPr>
            <w:tcW w:w="1656" w:type="dxa"/>
            <w:vMerge w:val="continue"/>
            <w:tcBorders>
              <w:left w:val="single" w:color="auto" w:sz="4" w:space="0"/>
              <w:bottom w:val="single" w:color="auto" w:sz="12" w:space="0"/>
              <w:right w:val="single" w:color="auto" w:sz="4" w:space="0"/>
            </w:tcBorders>
            <w:shd w:val="clear" w:color="auto" w:fill="auto"/>
            <w:vAlign w:val="center"/>
          </w:tcPr>
          <w:p>
            <w:pPr>
              <w:widowControl/>
              <w:jc w:val="center"/>
              <w:rPr>
                <w:rFonts w:cs="Arial" w:asciiTheme="minorEastAsia" w:hAnsiTheme="minorEastAsia" w:eastAsiaTheme="minorEastAsia"/>
                <w:color w:val="auto"/>
                <w:sz w:val="18"/>
                <w:szCs w:val="18"/>
              </w:rPr>
            </w:pPr>
          </w:p>
        </w:tc>
        <w:tc>
          <w:tcPr>
            <w:tcW w:w="674" w:type="dxa"/>
            <w:vMerge w:val="continue"/>
            <w:tcBorders>
              <w:left w:val="single" w:color="auto" w:sz="4" w:space="0"/>
              <w:bottom w:val="single" w:color="auto" w:sz="12" w:space="0"/>
              <w:right w:val="single" w:color="auto" w:sz="4" w:space="0"/>
            </w:tcBorders>
            <w:shd w:val="clear" w:color="auto" w:fill="auto"/>
            <w:vAlign w:val="center"/>
          </w:tcPr>
          <w:p>
            <w:pPr>
              <w:widowControl/>
              <w:jc w:val="center"/>
              <w:rPr>
                <w:rFonts w:cs="Arial" w:asciiTheme="minorEastAsia" w:hAnsiTheme="minorEastAsia" w:eastAsiaTheme="minorEastAsia"/>
                <w:color w:val="auto"/>
                <w:sz w:val="18"/>
                <w:szCs w:val="18"/>
              </w:rPr>
            </w:pPr>
          </w:p>
        </w:tc>
        <w:tc>
          <w:tcPr>
            <w:tcW w:w="851" w:type="dxa"/>
            <w:tcBorders>
              <w:left w:val="single" w:color="auto" w:sz="4" w:space="0"/>
              <w:bottom w:val="single" w:color="auto" w:sz="12" w:space="0"/>
              <w:right w:val="single" w:color="auto" w:sz="4" w:space="0"/>
            </w:tcBorders>
            <w:shd w:val="clear" w:color="auto" w:fill="auto"/>
            <w:vAlign w:val="center"/>
          </w:tcPr>
          <w:p>
            <w:pPr>
              <w:spacing w:line="276" w:lineRule="auto"/>
              <w:jc w:val="center"/>
              <w:rPr>
                <w:rFonts w:cs="Arial" w:asciiTheme="minorEastAsia" w:hAnsiTheme="minorEastAsia" w:eastAsiaTheme="minorEastAsia"/>
                <w:b/>
                <w:color w:val="auto"/>
                <w:sz w:val="18"/>
                <w:szCs w:val="18"/>
              </w:rPr>
            </w:pPr>
            <w:r>
              <w:rPr>
                <w:rFonts w:hint="eastAsia" w:cs="Arial" w:asciiTheme="minorEastAsia" w:hAnsiTheme="minorEastAsia" w:eastAsiaTheme="minorEastAsia"/>
                <w:b/>
                <w:color w:val="auto"/>
                <w:sz w:val="18"/>
                <w:szCs w:val="18"/>
                <w:lang w:val="en-GB"/>
              </w:rPr>
              <w:t>直接</w:t>
            </w:r>
          </w:p>
        </w:tc>
        <w:tc>
          <w:tcPr>
            <w:tcW w:w="708" w:type="dxa"/>
            <w:tcBorders>
              <w:left w:val="single" w:color="auto" w:sz="4" w:space="0"/>
              <w:bottom w:val="single" w:color="auto" w:sz="12" w:space="0"/>
              <w:right w:val="single" w:color="auto" w:sz="4" w:space="0"/>
            </w:tcBorders>
            <w:shd w:val="clear" w:color="auto" w:fill="auto"/>
            <w:vAlign w:val="center"/>
          </w:tcPr>
          <w:p>
            <w:pPr>
              <w:spacing w:line="276" w:lineRule="auto"/>
              <w:jc w:val="center"/>
              <w:rPr>
                <w:rFonts w:cs="Arial" w:asciiTheme="minorEastAsia" w:hAnsiTheme="minorEastAsia" w:eastAsiaTheme="minorEastAsia"/>
                <w:b/>
                <w:color w:val="auto"/>
                <w:sz w:val="18"/>
                <w:szCs w:val="18"/>
              </w:rPr>
            </w:pPr>
            <w:r>
              <w:rPr>
                <w:rFonts w:hint="eastAsia" w:cs="Arial" w:asciiTheme="minorEastAsia" w:hAnsiTheme="minorEastAsia" w:eastAsiaTheme="minorEastAsia"/>
                <w:b/>
                <w:color w:val="auto"/>
                <w:sz w:val="18"/>
                <w:szCs w:val="18"/>
                <w:lang w:val="en-GB"/>
              </w:rPr>
              <w:t>间接</w:t>
            </w:r>
          </w:p>
        </w:tc>
        <w:tc>
          <w:tcPr>
            <w:tcW w:w="1028" w:type="dxa"/>
            <w:vMerge w:val="continue"/>
            <w:tcBorders>
              <w:left w:val="single" w:color="auto" w:sz="4" w:space="0"/>
              <w:bottom w:val="single" w:color="auto" w:sz="12" w:space="0"/>
              <w:right w:val="single" w:color="auto" w:sz="4" w:space="0"/>
            </w:tcBorders>
            <w:shd w:val="clear" w:color="auto" w:fill="auto"/>
            <w:vAlign w:val="bottom"/>
          </w:tcPr>
          <w:p>
            <w:pPr>
              <w:widowControl/>
              <w:jc w:val="right"/>
              <w:rPr>
                <w:rFonts w:cs="Arial" w:asciiTheme="minorEastAsia" w:hAnsiTheme="minorEastAsia" w:eastAsiaTheme="minorEastAsia"/>
                <w:color w:val="auto"/>
                <w:sz w:val="18"/>
                <w:szCs w:val="18"/>
              </w:rPr>
            </w:pPr>
          </w:p>
        </w:tc>
        <w:tc>
          <w:tcPr>
            <w:tcW w:w="1165" w:type="dxa"/>
            <w:vMerge w:val="continue"/>
            <w:tcBorders>
              <w:left w:val="single" w:color="auto" w:sz="4" w:space="0"/>
              <w:bottom w:val="single" w:color="auto" w:sz="12" w:space="0"/>
            </w:tcBorders>
            <w:shd w:val="clear" w:color="auto" w:fill="auto"/>
            <w:vAlign w:val="bottom"/>
          </w:tcPr>
          <w:p>
            <w:pPr>
              <w:widowControl/>
              <w:jc w:val="right"/>
              <w:rPr>
                <w:rFonts w:cs="Arial" w:asciiTheme="minorEastAsia" w:hAnsiTheme="minorEastAsia" w:eastAsiaTheme="minorEastAsia"/>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463" w:type="dxa"/>
            <w:tcBorders>
              <w:top w:val="single" w:color="auto" w:sz="12" w:space="0"/>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莱州伟隆阀门有限公司</w:t>
            </w:r>
          </w:p>
        </w:tc>
        <w:tc>
          <w:tcPr>
            <w:tcW w:w="1701" w:type="dxa"/>
            <w:tcBorders>
              <w:top w:val="single" w:color="auto" w:sz="12" w:space="0"/>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莱州市沙河镇海郑村</w:t>
            </w:r>
          </w:p>
        </w:tc>
        <w:tc>
          <w:tcPr>
            <w:tcW w:w="1656" w:type="dxa"/>
            <w:tcBorders>
              <w:top w:val="single" w:color="auto" w:sz="12" w:space="0"/>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莱州市沙河镇海郑村</w:t>
            </w:r>
          </w:p>
        </w:tc>
        <w:tc>
          <w:tcPr>
            <w:tcW w:w="674"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工业</w:t>
            </w:r>
          </w:p>
        </w:tc>
        <w:tc>
          <w:tcPr>
            <w:tcW w:w="851"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auto"/>
                <w:sz w:val="15"/>
                <w:szCs w:val="15"/>
              </w:rPr>
            </w:pPr>
            <w:r>
              <w:rPr>
                <w:rFonts w:asciiTheme="minorEastAsia" w:hAnsiTheme="minorEastAsia" w:eastAsiaTheme="minorEastAsia"/>
                <w:color w:val="auto"/>
                <w:sz w:val="15"/>
                <w:szCs w:val="15"/>
              </w:rPr>
              <w:t>100</w:t>
            </w:r>
          </w:p>
        </w:tc>
        <w:tc>
          <w:tcPr>
            <w:tcW w:w="708" w:type="dxa"/>
            <w:tcBorders>
              <w:top w:val="single" w:color="auto" w:sz="12"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sz w:val="15"/>
                <w:szCs w:val="15"/>
              </w:rPr>
            </w:pPr>
          </w:p>
        </w:tc>
        <w:tc>
          <w:tcPr>
            <w:tcW w:w="1028"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auto"/>
                <w:sz w:val="15"/>
                <w:szCs w:val="15"/>
              </w:rPr>
            </w:pPr>
            <w:r>
              <w:rPr>
                <w:rFonts w:asciiTheme="minorEastAsia" w:hAnsiTheme="minorEastAsia" w:eastAsiaTheme="minorEastAsia"/>
                <w:color w:val="auto"/>
                <w:sz w:val="15"/>
                <w:szCs w:val="15"/>
              </w:rPr>
              <w:t>100</w:t>
            </w:r>
          </w:p>
        </w:tc>
        <w:tc>
          <w:tcPr>
            <w:tcW w:w="1165" w:type="dxa"/>
            <w:tcBorders>
              <w:top w:val="single" w:color="auto" w:sz="12" w:space="0"/>
              <w:left w:val="single" w:color="auto" w:sz="4" w:space="0"/>
              <w:bottom w:val="single" w:color="auto" w:sz="4" w:space="0"/>
            </w:tcBorders>
            <w:shd w:val="clear" w:color="auto" w:fill="auto"/>
            <w:vAlign w:val="center"/>
          </w:tcPr>
          <w:p>
            <w:pPr>
              <w:jc w:val="center"/>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同一控制下企业合并</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463" w:type="dxa"/>
            <w:tcBorders>
              <w:top w:val="single" w:color="auto" w:sz="4" w:space="0"/>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青岛伟隆流体设备有限公司</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山东省青岛市高新区春阳路789号</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山东省青岛市高新区春阳路789号</w:t>
            </w:r>
          </w:p>
        </w:tc>
        <w:tc>
          <w:tcPr>
            <w:tcW w:w="6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工业</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auto"/>
                <w:sz w:val="15"/>
                <w:szCs w:val="15"/>
              </w:rPr>
            </w:pPr>
            <w:r>
              <w:rPr>
                <w:rFonts w:asciiTheme="minorEastAsia" w:hAnsiTheme="minorEastAsia" w:eastAsiaTheme="minorEastAsia"/>
                <w:color w:val="auto"/>
                <w:sz w:val="15"/>
                <w:szCs w:val="15"/>
              </w:rPr>
              <w:t>100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cs="宋体" w:asciiTheme="minorEastAsia" w:hAnsiTheme="minorEastAsia" w:eastAsiaTheme="minorEastAsia"/>
                <w:color w:val="auto"/>
                <w:sz w:val="15"/>
                <w:szCs w:val="15"/>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auto"/>
                <w:sz w:val="15"/>
                <w:szCs w:val="15"/>
              </w:rPr>
            </w:pPr>
            <w:r>
              <w:rPr>
                <w:rFonts w:asciiTheme="minorEastAsia" w:hAnsiTheme="minorEastAsia" w:eastAsiaTheme="minorEastAsia"/>
                <w:color w:val="auto"/>
                <w:sz w:val="15"/>
                <w:szCs w:val="15"/>
              </w:rPr>
              <w:t>100</w:t>
            </w:r>
          </w:p>
        </w:tc>
        <w:tc>
          <w:tcPr>
            <w:tcW w:w="1165" w:type="dxa"/>
            <w:tcBorders>
              <w:top w:val="single" w:color="auto" w:sz="4" w:space="0"/>
              <w:left w:val="single" w:color="auto" w:sz="4" w:space="0"/>
              <w:bottom w:val="single" w:color="auto" w:sz="4" w:space="0"/>
            </w:tcBorders>
            <w:shd w:val="clear" w:color="auto" w:fill="auto"/>
            <w:vAlign w:val="center"/>
          </w:tcPr>
          <w:p>
            <w:pPr>
              <w:jc w:val="center"/>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设立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463" w:type="dxa"/>
            <w:tcBorders>
              <w:top w:val="single" w:color="auto" w:sz="4" w:space="0"/>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青岛伟隆五金机械有限公司</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中国（山东）自由贸易试验区青岛片区前湾保税港区北京路</w:t>
            </w:r>
            <w:r>
              <w:rPr>
                <w:rFonts w:asciiTheme="minorEastAsia" w:hAnsiTheme="minorEastAsia" w:eastAsiaTheme="minorEastAsia"/>
                <w:color w:val="auto"/>
                <w:sz w:val="15"/>
                <w:szCs w:val="15"/>
              </w:rPr>
              <w:t>45号东办公楼一楼-2244（商务秘书公司托管地址）（A）</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中国（山东）自由贸易试验区青岛片区前湾保税港区北京路</w:t>
            </w:r>
            <w:r>
              <w:rPr>
                <w:rFonts w:asciiTheme="minorEastAsia" w:hAnsiTheme="minorEastAsia" w:eastAsiaTheme="minorEastAsia"/>
                <w:color w:val="auto"/>
                <w:sz w:val="15"/>
                <w:szCs w:val="15"/>
              </w:rPr>
              <w:t>45号东办公楼一楼-2244（商务秘书公司托管地址）（A）</w:t>
            </w:r>
          </w:p>
        </w:tc>
        <w:tc>
          <w:tcPr>
            <w:tcW w:w="6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工业</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auto"/>
                <w:sz w:val="15"/>
                <w:szCs w:val="15"/>
              </w:rPr>
            </w:pPr>
            <w:r>
              <w:rPr>
                <w:rFonts w:asciiTheme="minorEastAsia" w:hAnsiTheme="minorEastAsia" w:eastAsiaTheme="minorEastAsia"/>
                <w:color w:val="auto"/>
                <w:sz w:val="15"/>
                <w:szCs w:val="15"/>
              </w:rPr>
              <w:t>100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cs="宋体" w:asciiTheme="minorEastAsia" w:hAnsiTheme="minorEastAsia" w:eastAsiaTheme="minorEastAsia"/>
                <w:color w:val="auto"/>
                <w:sz w:val="15"/>
                <w:szCs w:val="15"/>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auto"/>
                <w:sz w:val="15"/>
                <w:szCs w:val="15"/>
              </w:rPr>
            </w:pPr>
            <w:r>
              <w:rPr>
                <w:rFonts w:asciiTheme="minorEastAsia" w:hAnsiTheme="minorEastAsia" w:eastAsiaTheme="minorEastAsia"/>
                <w:color w:val="auto"/>
                <w:sz w:val="15"/>
                <w:szCs w:val="15"/>
              </w:rPr>
              <w:t>100</w:t>
            </w:r>
          </w:p>
        </w:tc>
        <w:tc>
          <w:tcPr>
            <w:tcW w:w="1165" w:type="dxa"/>
            <w:tcBorders>
              <w:top w:val="single" w:color="auto" w:sz="4" w:space="0"/>
              <w:left w:val="single" w:color="auto" w:sz="4" w:space="0"/>
              <w:bottom w:val="single" w:color="auto" w:sz="4" w:space="0"/>
            </w:tcBorders>
            <w:shd w:val="clear" w:color="auto" w:fill="auto"/>
            <w:vAlign w:val="center"/>
          </w:tcPr>
          <w:p>
            <w:pPr>
              <w:jc w:val="center"/>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设立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463" w:type="dxa"/>
            <w:tcBorders>
              <w:top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color w:val="auto"/>
                <w:sz w:val="15"/>
                <w:szCs w:val="15"/>
              </w:rPr>
            </w:pPr>
            <w:r>
              <w:rPr>
                <w:rFonts w:asciiTheme="minorEastAsia" w:hAnsiTheme="minorEastAsia" w:eastAsiaTheme="minorEastAsia"/>
                <w:color w:val="auto"/>
                <w:sz w:val="15"/>
                <w:szCs w:val="15"/>
              </w:rPr>
              <w:t>Weflo Valve Company Limited（英国公司）</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英国伦敦</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英国伦敦</w:t>
            </w:r>
          </w:p>
        </w:tc>
        <w:tc>
          <w:tcPr>
            <w:tcW w:w="6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商务服务</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auto"/>
                <w:sz w:val="15"/>
                <w:szCs w:val="15"/>
              </w:rPr>
            </w:pPr>
            <w:r>
              <w:rPr>
                <w:rFonts w:asciiTheme="minorEastAsia" w:hAnsiTheme="minorEastAsia" w:eastAsiaTheme="minorEastAsia"/>
                <w:color w:val="auto"/>
                <w:sz w:val="15"/>
                <w:szCs w:val="15"/>
              </w:rPr>
              <w:t>100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cs="宋体" w:asciiTheme="minorEastAsia" w:hAnsiTheme="minorEastAsia" w:eastAsiaTheme="minorEastAsia"/>
                <w:color w:val="auto"/>
                <w:sz w:val="15"/>
                <w:szCs w:val="15"/>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auto"/>
                <w:sz w:val="15"/>
                <w:szCs w:val="15"/>
              </w:rPr>
            </w:pPr>
            <w:r>
              <w:rPr>
                <w:rFonts w:asciiTheme="minorEastAsia" w:hAnsiTheme="minorEastAsia" w:eastAsiaTheme="minorEastAsia"/>
                <w:color w:val="auto"/>
                <w:sz w:val="15"/>
                <w:szCs w:val="15"/>
              </w:rPr>
              <w:t>100</w:t>
            </w:r>
          </w:p>
        </w:tc>
        <w:tc>
          <w:tcPr>
            <w:tcW w:w="1165" w:type="dxa"/>
            <w:tcBorders>
              <w:top w:val="single" w:color="auto" w:sz="4" w:space="0"/>
              <w:left w:val="single" w:color="auto" w:sz="4" w:space="0"/>
              <w:bottom w:val="single" w:color="auto" w:sz="4" w:space="0"/>
            </w:tcBorders>
            <w:shd w:val="clear" w:color="auto" w:fill="auto"/>
            <w:vAlign w:val="center"/>
          </w:tcPr>
          <w:p>
            <w:pPr>
              <w:jc w:val="center"/>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同一控制下企业合并</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463" w:type="dxa"/>
            <w:tcBorders>
              <w:top w:val="single" w:color="auto" w:sz="4" w:space="0"/>
              <w:bottom w:val="single" w:color="auto" w:sz="4" w:space="0"/>
              <w:right w:val="single" w:color="auto" w:sz="4" w:space="0"/>
            </w:tcBorders>
            <w:shd w:val="clear" w:color="auto" w:fill="auto"/>
            <w:vAlign w:val="bottom"/>
          </w:tcPr>
          <w:p>
            <w:pPr>
              <w:jc w:val="left"/>
              <w:rPr>
                <w:rFonts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青岛卓信检测技术有限责任公司</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山东省青岛市高新区华贯路以东、华东路以西、科海路以南</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山东省青岛市高新区华贯路以东、华东路以西、科海路以南</w:t>
            </w:r>
          </w:p>
        </w:tc>
        <w:tc>
          <w:tcPr>
            <w:tcW w:w="6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工业</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 w:val="15"/>
                <w:szCs w:val="15"/>
              </w:rPr>
            </w:pPr>
            <w:r>
              <w:rPr>
                <w:rFonts w:asciiTheme="minorEastAsia" w:hAnsiTheme="minorEastAsia" w:eastAsiaTheme="minorEastAsia"/>
                <w:color w:val="auto"/>
                <w:sz w:val="15"/>
                <w:szCs w:val="15"/>
              </w:rPr>
              <w:t>100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asciiTheme="minorEastAsia" w:hAnsiTheme="minorEastAsia" w:eastAsiaTheme="minorEastAsia"/>
                <w:color w:val="auto"/>
                <w:sz w:val="15"/>
                <w:szCs w:val="15"/>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 w:val="15"/>
                <w:szCs w:val="15"/>
              </w:rPr>
            </w:pPr>
            <w:r>
              <w:rPr>
                <w:rFonts w:asciiTheme="minorEastAsia" w:hAnsiTheme="minorEastAsia" w:eastAsiaTheme="minorEastAsia"/>
                <w:color w:val="auto"/>
                <w:sz w:val="15"/>
                <w:szCs w:val="15"/>
              </w:rPr>
              <w:t>100</w:t>
            </w:r>
          </w:p>
        </w:tc>
        <w:tc>
          <w:tcPr>
            <w:tcW w:w="1165" w:type="dxa"/>
            <w:tcBorders>
              <w:top w:val="single" w:color="auto" w:sz="4" w:space="0"/>
              <w:left w:val="single" w:color="auto" w:sz="4" w:space="0"/>
              <w:bottom w:val="single" w:color="auto" w:sz="4" w:space="0"/>
            </w:tcBorders>
            <w:shd w:val="clear" w:color="auto" w:fill="auto"/>
            <w:vAlign w:val="center"/>
          </w:tcPr>
          <w:p>
            <w:pPr>
              <w:jc w:val="center"/>
              <w:rPr>
                <w:rFonts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设立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463" w:type="dxa"/>
            <w:tcBorders>
              <w:top w:val="single" w:color="auto" w:sz="4" w:space="0"/>
              <w:bottom w:val="single" w:color="auto" w:sz="4" w:space="0"/>
              <w:right w:val="single" w:color="auto" w:sz="4" w:space="0"/>
            </w:tcBorders>
            <w:shd w:val="clear" w:color="auto" w:fill="auto"/>
            <w:vAlign w:val="bottom"/>
          </w:tcPr>
          <w:p>
            <w:pPr>
              <w:jc w:val="left"/>
              <w:rPr>
                <w:rFonts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偉隆（香港）實業有限公司</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香港九龙尖沙咀东部科学馆道</w:t>
            </w:r>
            <w:r>
              <w:rPr>
                <w:rFonts w:asciiTheme="minorEastAsia" w:hAnsiTheme="minorEastAsia" w:eastAsiaTheme="minorEastAsia"/>
                <w:color w:val="auto"/>
                <w:sz w:val="15"/>
                <w:szCs w:val="15"/>
              </w:rPr>
              <w:t>14号新文华中心A座10楼1015室</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香港九龙尖沙咀东部科学馆道</w:t>
            </w:r>
            <w:r>
              <w:rPr>
                <w:rFonts w:asciiTheme="minorEastAsia" w:hAnsiTheme="minorEastAsia" w:eastAsiaTheme="minorEastAsia"/>
                <w:color w:val="auto"/>
                <w:sz w:val="15"/>
                <w:szCs w:val="15"/>
              </w:rPr>
              <w:t>14号新文华中心A座10楼1015室</w:t>
            </w:r>
          </w:p>
        </w:tc>
        <w:tc>
          <w:tcPr>
            <w:tcW w:w="6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商务服务</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 w:val="15"/>
                <w:szCs w:val="15"/>
              </w:rPr>
            </w:pPr>
            <w:r>
              <w:rPr>
                <w:rFonts w:asciiTheme="minorEastAsia" w:hAnsiTheme="minorEastAsia" w:eastAsiaTheme="minorEastAsia"/>
                <w:color w:val="auto"/>
                <w:sz w:val="15"/>
                <w:szCs w:val="15"/>
              </w:rPr>
              <w:t>100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asciiTheme="minorEastAsia" w:hAnsiTheme="minorEastAsia" w:eastAsiaTheme="minorEastAsia"/>
                <w:color w:val="auto"/>
                <w:sz w:val="15"/>
                <w:szCs w:val="15"/>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 w:val="15"/>
                <w:szCs w:val="15"/>
              </w:rPr>
            </w:pPr>
            <w:r>
              <w:rPr>
                <w:rFonts w:asciiTheme="minorEastAsia" w:hAnsiTheme="minorEastAsia" w:eastAsiaTheme="minorEastAsia"/>
                <w:color w:val="auto"/>
                <w:sz w:val="15"/>
                <w:szCs w:val="15"/>
              </w:rPr>
              <w:t>100</w:t>
            </w:r>
          </w:p>
        </w:tc>
        <w:tc>
          <w:tcPr>
            <w:tcW w:w="1165" w:type="dxa"/>
            <w:tcBorders>
              <w:top w:val="single" w:color="auto" w:sz="4" w:space="0"/>
              <w:left w:val="single" w:color="auto" w:sz="4" w:space="0"/>
              <w:bottom w:val="single" w:color="auto" w:sz="4" w:space="0"/>
            </w:tcBorders>
            <w:shd w:val="clear" w:color="auto" w:fill="auto"/>
            <w:vAlign w:val="center"/>
          </w:tcPr>
          <w:p>
            <w:pPr>
              <w:jc w:val="center"/>
              <w:rPr>
                <w:rFonts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设立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463" w:type="dxa"/>
            <w:tcBorders>
              <w:top w:val="single" w:color="auto" w:sz="4" w:space="0"/>
              <w:bottom w:val="single" w:color="auto" w:sz="4" w:space="0"/>
              <w:right w:val="single" w:color="auto" w:sz="4" w:space="0"/>
            </w:tcBorders>
            <w:shd w:val="clear" w:color="auto" w:fill="auto"/>
            <w:vAlign w:val="bottom"/>
          </w:tcPr>
          <w:p>
            <w:pPr>
              <w:jc w:val="left"/>
              <w:rPr>
                <w:rFonts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海南伟隆投资有限公司</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海南省澄迈县老城镇高新技术产业示范区海南生态软件园孵化楼五楼</w:t>
            </w:r>
            <w:r>
              <w:rPr>
                <w:rFonts w:asciiTheme="minorEastAsia" w:hAnsiTheme="minorEastAsia" w:eastAsiaTheme="minorEastAsia"/>
                <w:color w:val="auto"/>
                <w:sz w:val="15"/>
                <w:szCs w:val="15"/>
              </w:rPr>
              <w:t>1001室</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海南省澄迈县老城镇高新技术产业示范区海南生态软件园孵化楼五楼</w:t>
            </w:r>
            <w:r>
              <w:rPr>
                <w:rFonts w:asciiTheme="minorEastAsia" w:hAnsiTheme="minorEastAsia" w:eastAsiaTheme="minorEastAsia"/>
                <w:color w:val="auto"/>
                <w:sz w:val="15"/>
                <w:szCs w:val="15"/>
              </w:rPr>
              <w:t>1001室</w:t>
            </w:r>
          </w:p>
        </w:tc>
        <w:tc>
          <w:tcPr>
            <w:tcW w:w="6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商务服务</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 w:val="15"/>
                <w:szCs w:val="15"/>
              </w:rPr>
            </w:pPr>
            <w:r>
              <w:rPr>
                <w:rFonts w:asciiTheme="minorEastAsia" w:hAnsiTheme="minorEastAsia" w:eastAsiaTheme="minorEastAsia"/>
                <w:color w:val="auto"/>
                <w:sz w:val="15"/>
                <w:szCs w:val="15"/>
              </w:rPr>
              <w:t>60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asciiTheme="minorEastAsia" w:hAnsiTheme="minorEastAsia" w:eastAsiaTheme="minorEastAsia"/>
                <w:color w:val="auto"/>
                <w:sz w:val="15"/>
                <w:szCs w:val="15"/>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 w:val="15"/>
                <w:szCs w:val="15"/>
              </w:rPr>
            </w:pPr>
            <w:r>
              <w:rPr>
                <w:rFonts w:asciiTheme="minorEastAsia" w:hAnsiTheme="minorEastAsia" w:eastAsiaTheme="minorEastAsia"/>
                <w:color w:val="auto"/>
                <w:sz w:val="15"/>
                <w:szCs w:val="15"/>
              </w:rPr>
              <w:t>60</w:t>
            </w:r>
          </w:p>
        </w:tc>
        <w:tc>
          <w:tcPr>
            <w:tcW w:w="1165" w:type="dxa"/>
            <w:tcBorders>
              <w:top w:val="single" w:color="auto" w:sz="4" w:space="0"/>
              <w:left w:val="single" w:color="auto" w:sz="4" w:space="0"/>
              <w:bottom w:val="single" w:color="auto" w:sz="4" w:space="0"/>
            </w:tcBorders>
            <w:shd w:val="clear" w:color="auto" w:fill="auto"/>
            <w:vAlign w:val="center"/>
          </w:tcPr>
          <w:p>
            <w:pPr>
              <w:jc w:val="center"/>
              <w:rPr>
                <w:rFonts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设立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463" w:type="dxa"/>
            <w:tcBorders>
              <w:top w:val="single" w:color="auto" w:sz="4" w:space="0"/>
              <w:bottom w:val="single" w:color="auto" w:sz="12" w:space="0"/>
              <w:right w:val="single" w:color="auto" w:sz="4" w:space="0"/>
            </w:tcBorders>
            <w:shd w:val="clear" w:color="auto" w:fill="auto"/>
            <w:vAlign w:val="center"/>
          </w:tcPr>
          <w:p>
            <w:pPr>
              <w:jc w:val="left"/>
              <w:rPr>
                <w:rFonts w:cs="宋体" w:asciiTheme="minorEastAsia" w:hAnsiTheme="minorEastAsia" w:eastAsiaTheme="minorEastAsia"/>
                <w:color w:val="auto"/>
                <w:sz w:val="15"/>
                <w:szCs w:val="15"/>
              </w:rPr>
            </w:pPr>
            <w:r>
              <w:rPr>
                <w:rFonts w:asciiTheme="minorEastAsia" w:hAnsiTheme="minorEastAsia" w:eastAsiaTheme="minorEastAsia"/>
                <w:color w:val="auto"/>
                <w:sz w:val="15"/>
                <w:szCs w:val="15"/>
              </w:rPr>
              <w:t>WEFLO VALVE LLC（美国公司）</w:t>
            </w:r>
          </w:p>
        </w:tc>
        <w:tc>
          <w:tcPr>
            <w:tcW w:w="1701" w:type="dxa"/>
            <w:tcBorders>
              <w:top w:val="single" w:color="auto" w:sz="4" w:space="0"/>
              <w:left w:val="single" w:color="auto" w:sz="4" w:space="0"/>
              <w:bottom w:val="single" w:color="auto" w:sz="12" w:space="0"/>
              <w:right w:val="single" w:color="auto" w:sz="4" w:space="0"/>
            </w:tcBorders>
            <w:shd w:val="clear" w:color="auto" w:fill="auto"/>
            <w:vAlign w:val="center"/>
          </w:tcPr>
          <w:p>
            <w:pPr>
              <w:jc w:val="left"/>
              <w:rPr>
                <w:rFonts w:cs="宋体" w:asciiTheme="minorEastAsia" w:hAnsiTheme="minorEastAsia" w:eastAsiaTheme="minorEastAsia"/>
                <w:color w:val="auto"/>
                <w:sz w:val="15"/>
                <w:szCs w:val="15"/>
              </w:rPr>
            </w:pPr>
            <w:r>
              <w:rPr>
                <w:rFonts w:asciiTheme="minorEastAsia" w:hAnsiTheme="minorEastAsia" w:eastAsiaTheme="minorEastAsia"/>
                <w:color w:val="auto"/>
                <w:sz w:val="15"/>
                <w:szCs w:val="15"/>
              </w:rPr>
              <w:t>16192 coastal Highway,Lewes</w:t>
            </w:r>
          </w:p>
        </w:tc>
        <w:tc>
          <w:tcPr>
            <w:tcW w:w="1656" w:type="dxa"/>
            <w:tcBorders>
              <w:top w:val="single" w:color="auto" w:sz="4" w:space="0"/>
              <w:left w:val="single" w:color="auto" w:sz="4" w:space="0"/>
              <w:bottom w:val="single" w:color="auto" w:sz="12" w:space="0"/>
              <w:right w:val="single" w:color="auto" w:sz="4" w:space="0"/>
            </w:tcBorders>
            <w:shd w:val="clear" w:color="auto" w:fill="auto"/>
            <w:vAlign w:val="center"/>
          </w:tcPr>
          <w:p>
            <w:pPr>
              <w:jc w:val="left"/>
              <w:rPr>
                <w:rFonts w:cs="宋体" w:asciiTheme="minorEastAsia" w:hAnsiTheme="minorEastAsia" w:eastAsiaTheme="minorEastAsia"/>
                <w:color w:val="auto"/>
                <w:sz w:val="15"/>
                <w:szCs w:val="15"/>
              </w:rPr>
            </w:pPr>
            <w:r>
              <w:rPr>
                <w:rFonts w:asciiTheme="minorEastAsia" w:hAnsiTheme="minorEastAsia" w:eastAsiaTheme="minorEastAsia"/>
                <w:color w:val="auto"/>
                <w:sz w:val="15"/>
                <w:szCs w:val="15"/>
              </w:rPr>
              <w:t>16192 coastal Highway,Lewes</w:t>
            </w:r>
          </w:p>
        </w:tc>
        <w:tc>
          <w:tcPr>
            <w:tcW w:w="674" w:type="dxa"/>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商务服务</w:t>
            </w:r>
          </w:p>
        </w:tc>
        <w:tc>
          <w:tcPr>
            <w:tcW w:w="851" w:type="dxa"/>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cs="宋体" w:asciiTheme="minorEastAsia" w:hAnsiTheme="minorEastAsia" w:eastAsiaTheme="minorEastAsia"/>
                <w:color w:val="auto"/>
                <w:sz w:val="15"/>
                <w:szCs w:val="15"/>
              </w:rPr>
            </w:pPr>
            <w:r>
              <w:rPr>
                <w:rFonts w:asciiTheme="minorEastAsia" w:hAnsiTheme="minorEastAsia" w:eastAsiaTheme="minorEastAsia"/>
                <w:color w:val="auto"/>
                <w:sz w:val="15"/>
                <w:szCs w:val="15"/>
              </w:rPr>
              <w:t>100</w:t>
            </w:r>
          </w:p>
        </w:tc>
        <w:tc>
          <w:tcPr>
            <w:tcW w:w="708" w:type="dxa"/>
            <w:tcBorders>
              <w:top w:val="single" w:color="auto" w:sz="4" w:space="0"/>
              <w:left w:val="single" w:color="auto" w:sz="4" w:space="0"/>
              <w:bottom w:val="single" w:color="auto" w:sz="12" w:space="0"/>
              <w:right w:val="single" w:color="auto" w:sz="4" w:space="0"/>
            </w:tcBorders>
            <w:shd w:val="clear" w:color="auto" w:fill="auto"/>
            <w:vAlign w:val="bottom"/>
          </w:tcPr>
          <w:p>
            <w:pPr>
              <w:rPr>
                <w:rFonts w:cs="宋体" w:asciiTheme="minorEastAsia" w:hAnsiTheme="minorEastAsia" w:eastAsiaTheme="minorEastAsia"/>
                <w:color w:val="auto"/>
                <w:sz w:val="15"/>
                <w:szCs w:val="15"/>
              </w:rPr>
            </w:pPr>
          </w:p>
        </w:tc>
        <w:tc>
          <w:tcPr>
            <w:tcW w:w="1028" w:type="dxa"/>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cs="宋体" w:asciiTheme="minorEastAsia" w:hAnsiTheme="minorEastAsia" w:eastAsiaTheme="minorEastAsia"/>
                <w:color w:val="auto"/>
                <w:sz w:val="15"/>
                <w:szCs w:val="15"/>
              </w:rPr>
            </w:pPr>
            <w:r>
              <w:rPr>
                <w:rFonts w:asciiTheme="minorEastAsia" w:hAnsiTheme="minorEastAsia" w:eastAsiaTheme="minorEastAsia"/>
                <w:color w:val="auto"/>
                <w:sz w:val="15"/>
                <w:szCs w:val="15"/>
              </w:rPr>
              <w:t>100</w:t>
            </w:r>
          </w:p>
        </w:tc>
        <w:tc>
          <w:tcPr>
            <w:tcW w:w="1165" w:type="dxa"/>
            <w:tcBorders>
              <w:top w:val="single" w:color="auto" w:sz="4" w:space="0"/>
              <w:left w:val="single" w:color="auto" w:sz="4" w:space="0"/>
              <w:bottom w:val="single" w:color="auto" w:sz="12" w:space="0"/>
            </w:tcBorders>
            <w:shd w:val="clear" w:color="auto" w:fill="auto"/>
            <w:vAlign w:val="center"/>
          </w:tcPr>
          <w:p>
            <w:pPr>
              <w:jc w:val="center"/>
              <w:rPr>
                <w:rFonts w:cs="宋体" w:asciiTheme="minorEastAsia" w:hAnsiTheme="minorEastAsia" w:eastAsiaTheme="minorEastAsia"/>
                <w:color w:val="auto"/>
                <w:sz w:val="15"/>
                <w:szCs w:val="15"/>
              </w:rPr>
            </w:pPr>
            <w:r>
              <w:rPr>
                <w:rFonts w:hint="eastAsia" w:asciiTheme="minorEastAsia" w:hAnsiTheme="minorEastAsia" w:eastAsiaTheme="minorEastAsia"/>
                <w:color w:val="auto"/>
                <w:sz w:val="15"/>
                <w:szCs w:val="15"/>
              </w:rPr>
              <w:t>设立</w:t>
            </w:r>
          </w:p>
        </w:tc>
      </w:tr>
    </w:tbl>
    <w:p>
      <w:pPr>
        <w:spacing w:before="150" w:beforeLines="50" w:after="150" w:afterLines="50" w:line="360" w:lineRule="auto"/>
        <w:ind w:right="119" w:firstLine="420" w:firstLineChars="200"/>
        <w:rPr>
          <w:rFonts w:ascii="宋体" w:hAnsi="宋体"/>
          <w:b/>
          <w:bCs/>
          <w:color w:val="auto"/>
          <w:szCs w:val="21"/>
        </w:rPr>
      </w:pPr>
      <w:r>
        <w:rPr>
          <w:rFonts w:hint="eastAsia" w:ascii="宋体" w:hAnsi="宋体"/>
          <w:b/>
          <w:bCs/>
          <w:color w:val="auto"/>
          <w:szCs w:val="21"/>
        </w:rPr>
        <w:t>（2）重要的非全资子公司</w:t>
      </w:r>
    </w:p>
    <w:tbl>
      <w:tblPr>
        <w:tblStyle w:val="9"/>
        <w:tblW w:w="8876"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20"/>
        <w:gridCol w:w="1276"/>
        <w:gridCol w:w="1559"/>
        <w:gridCol w:w="1559"/>
        <w:gridCol w:w="1418"/>
        <w:gridCol w:w="164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20" w:type="dxa"/>
            <w:tcBorders>
              <w:top w:val="single" w:color="auto" w:sz="12" w:space="0"/>
              <w:bottom w:val="single" w:color="auto" w:sz="12" w:space="0"/>
              <w:right w:val="single" w:color="auto" w:sz="4" w:space="0"/>
            </w:tcBorders>
            <w:vAlign w:val="center"/>
          </w:tcPr>
          <w:p>
            <w:pPr>
              <w:jc w:val="center"/>
              <w:rPr>
                <w:rFonts w:ascii="Arial" w:hAnsi="Arial" w:cs="Arial"/>
                <w:b/>
                <w:color w:val="auto"/>
                <w:sz w:val="18"/>
                <w:szCs w:val="18"/>
              </w:rPr>
            </w:pPr>
            <w:r>
              <w:rPr>
                <w:rFonts w:hint="eastAsia" w:ascii="Arial" w:hAnsi="Arial" w:cs="Arial"/>
                <w:b/>
                <w:color w:val="auto"/>
                <w:sz w:val="18"/>
                <w:szCs w:val="18"/>
                <w:lang w:val="en-GB"/>
              </w:rPr>
              <w:t>子公司名称</w:t>
            </w:r>
          </w:p>
        </w:tc>
        <w:tc>
          <w:tcPr>
            <w:tcW w:w="1276" w:type="dxa"/>
            <w:tcBorders>
              <w:top w:val="single" w:color="auto" w:sz="12" w:space="0"/>
              <w:left w:val="single" w:color="auto" w:sz="4" w:space="0"/>
              <w:bottom w:val="single" w:color="auto" w:sz="12" w:space="0"/>
              <w:right w:val="single" w:color="auto" w:sz="4" w:space="0"/>
            </w:tcBorders>
            <w:vAlign w:val="bottom"/>
          </w:tcPr>
          <w:p>
            <w:pPr>
              <w:jc w:val="center"/>
              <w:rPr>
                <w:rFonts w:ascii="宋体" w:hAnsi="宋体" w:cs="Arial"/>
                <w:b/>
                <w:color w:val="auto"/>
                <w:sz w:val="18"/>
                <w:szCs w:val="18"/>
              </w:rPr>
            </w:pPr>
            <w:r>
              <w:rPr>
                <w:rFonts w:hint="eastAsia" w:ascii="宋体" w:hAnsi="宋体" w:cs="Arial"/>
                <w:b/>
                <w:bCs/>
                <w:color w:val="auto"/>
                <w:sz w:val="18"/>
                <w:szCs w:val="18"/>
                <w:lang w:val="en-GB"/>
              </w:rPr>
              <w:t>少数股东的持股比例（</w:t>
            </w:r>
            <w:r>
              <w:rPr>
                <w:rFonts w:ascii="宋体" w:hAnsi="宋体" w:cs="Arial"/>
                <w:b/>
                <w:bCs/>
                <w:color w:val="auto"/>
                <w:sz w:val="18"/>
                <w:szCs w:val="18"/>
                <w:lang w:val="en-GB"/>
              </w:rPr>
              <w:t>%）</w:t>
            </w:r>
          </w:p>
        </w:tc>
        <w:tc>
          <w:tcPr>
            <w:tcW w:w="1559" w:type="dxa"/>
            <w:tcBorders>
              <w:top w:val="single" w:color="auto" w:sz="12" w:space="0"/>
              <w:left w:val="single" w:color="auto" w:sz="4" w:space="0"/>
              <w:bottom w:val="single" w:color="auto" w:sz="12" w:space="0"/>
              <w:right w:val="single" w:color="auto" w:sz="4" w:space="0"/>
            </w:tcBorders>
            <w:vAlign w:val="bottom"/>
          </w:tcPr>
          <w:p>
            <w:pPr>
              <w:jc w:val="center"/>
              <w:rPr>
                <w:rFonts w:ascii="宋体" w:hAnsi="宋体" w:cs="Arial"/>
                <w:b/>
                <w:bCs/>
                <w:color w:val="auto"/>
                <w:sz w:val="18"/>
                <w:szCs w:val="18"/>
              </w:rPr>
            </w:pPr>
            <w:r>
              <w:rPr>
                <w:rFonts w:hint="eastAsia" w:ascii="宋体" w:hAnsi="宋体" w:cs="Arial"/>
                <w:b/>
                <w:bCs/>
                <w:color w:val="auto"/>
                <w:sz w:val="18"/>
                <w:szCs w:val="18"/>
                <w:lang w:val="en-GB"/>
              </w:rPr>
              <w:t>少数股东的表决权比例（</w:t>
            </w:r>
            <w:r>
              <w:rPr>
                <w:rFonts w:ascii="宋体" w:hAnsi="宋体" w:cs="Arial"/>
                <w:b/>
                <w:bCs/>
                <w:color w:val="auto"/>
                <w:sz w:val="18"/>
                <w:szCs w:val="18"/>
                <w:lang w:val="en-GB"/>
              </w:rPr>
              <w:t>%）</w:t>
            </w:r>
          </w:p>
        </w:tc>
        <w:tc>
          <w:tcPr>
            <w:tcW w:w="1559" w:type="dxa"/>
            <w:tcBorders>
              <w:top w:val="single" w:color="auto" w:sz="12" w:space="0"/>
              <w:left w:val="single" w:color="auto" w:sz="4" w:space="0"/>
              <w:bottom w:val="single" w:color="auto" w:sz="12" w:space="0"/>
              <w:right w:val="single" w:color="auto" w:sz="4" w:space="0"/>
            </w:tcBorders>
            <w:vAlign w:val="bottom"/>
          </w:tcPr>
          <w:p>
            <w:pPr>
              <w:jc w:val="center"/>
              <w:rPr>
                <w:rFonts w:ascii="宋体" w:hAnsi="宋体" w:cs="Arial"/>
                <w:b/>
                <w:color w:val="auto"/>
                <w:sz w:val="18"/>
                <w:szCs w:val="18"/>
              </w:rPr>
            </w:pPr>
            <w:r>
              <w:rPr>
                <w:rFonts w:hint="eastAsia" w:ascii="宋体" w:hAnsi="宋体" w:cs="Arial"/>
                <w:b/>
                <w:bCs/>
                <w:color w:val="auto"/>
                <w:sz w:val="18"/>
                <w:szCs w:val="18"/>
                <w:lang w:val="en-GB"/>
              </w:rPr>
              <w:t>本期归属于少数股东的损益</w:t>
            </w:r>
          </w:p>
        </w:tc>
        <w:tc>
          <w:tcPr>
            <w:tcW w:w="1418" w:type="dxa"/>
            <w:tcBorders>
              <w:top w:val="single" w:color="auto" w:sz="12" w:space="0"/>
              <w:left w:val="single" w:color="auto" w:sz="4" w:space="0"/>
              <w:bottom w:val="single" w:color="auto" w:sz="12" w:space="0"/>
              <w:right w:val="single" w:color="auto" w:sz="4" w:space="0"/>
            </w:tcBorders>
            <w:vAlign w:val="bottom"/>
          </w:tcPr>
          <w:p>
            <w:pPr>
              <w:jc w:val="center"/>
              <w:rPr>
                <w:rFonts w:ascii="宋体" w:hAnsi="宋体" w:cs="Arial"/>
                <w:b/>
                <w:color w:val="auto"/>
                <w:sz w:val="18"/>
                <w:szCs w:val="18"/>
              </w:rPr>
            </w:pPr>
            <w:r>
              <w:rPr>
                <w:rFonts w:hint="eastAsia" w:ascii="宋体" w:hAnsi="宋体" w:cs="Arial"/>
                <w:b/>
                <w:bCs/>
                <w:color w:val="auto"/>
                <w:sz w:val="18"/>
                <w:szCs w:val="18"/>
                <w:lang w:val="en-GB"/>
              </w:rPr>
              <w:t>本期向少数股东支付的股利</w:t>
            </w:r>
          </w:p>
        </w:tc>
        <w:tc>
          <w:tcPr>
            <w:tcW w:w="1644" w:type="dxa"/>
            <w:tcBorders>
              <w:top w:val="single" w:color="auto" w:sz="12" w:space="0"/>
              <w:left w:val="single" w:color="auto" w:sz="4" w:space="0"/>
              <w:bottom w:val="single" w:color="auto" w:sz="12" w:space="0"/>
            </w:tcBorders>
            <w:vAlign w:val="bottom"/>
          </w:tcPr>
          <w:p>
            <w:pPr>
              <w:ind w:right="-16"/>
              <w:jc w:val="center"/>
              <w:rPr>
                <w:rFonts w:ascii="宋体" w:hAnsi="宋体" w:cs="Arial"/>
                <w:b/>
                <w:bCs/>
                <w:color w:val="auto"/>
                <w:sz w:val="18"/>
                <w:szCs w:val="18"/>
              </w:rPr>
            </w:pPr>
            <w:r>
              <w:rPr>
                <w:rFonts w:hint="eastAsia" w:ascii="宋体" w:hAnsi="宋体" w:cs="Arial"/>
                <w:b/>
                <w:bCs/>
                <w:color w:val="auto"/>
                <w:sz w:val="18"/>
                <w:szCs w:val="18"/>
                <w:lang w:val="en-GB"/>
              </w:rPr>
              <w:t>期末少数股东权益余额</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20" w:type="dxa"/>
            <w:tcBorders>
              <w:top w:val="single" w:color="auto" w:sz="4" w:space="0"/>
              <w:bottom w:val="single" w:color="auto" w:sz="12" w:space="0"/>
              <w:right w:val="single" w:color="auto" w:sz="4" w:space="0"/>
            </w:tcBorders>
            <w:vAlign w:val="bottom"/>
          </w:tcPr>
          <w:p>
            <w:pPr>
              <w:rPr>
                <w:rFonts w:ascii="宋体" w:hAnsi="宋体" w:cs="宋体"/>
                <w:color w:val="auto"/>
                <w:sz w:val="18"/>
                <w:szCs w:val="18"/>
              </w:rPr>
            </w:pPr>
            <w:r>
              <w:rPr>
                <w:rFonts w:hint="eastAsia" w:asciiTheme="minorEastAsia" w:hAnsiTheme="minorEastAsia" w:eastAsiaTheme="minorEastAsia"/>
                <w:color w:val="auto"/>
                <w:sz w:val="18"/>
                <w:szCs w:val="18"/>
              </w:rPr>
              <w:t>海南伟隆投资有限公司</w:t>
            </w:r>
          </w:p>
        </w:tc>
        <w:tc>
          <w:tcPr>
            <w:tcW w:w="1276" w:type="dxa"/>
            <w:tcBorders>
              <w:top w:val="single" w:color="auto" w:sz="4" w:space="0"/>
              <w:left w:val="single" w:color="auto" w:sz="4" w:space="0"/>
              <w:bottom w:val="single" w:color="auto" w:sz="12"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 xml:space="preserve">               40.00 </w:t>
            </w:r>
          </w:p>
        </w:tc>
        <w:tc>
          <w:tcPr>
            <w:tcW w:w="1559" w:type="dxa"/>
            <w:tcBorders>
              <w:top w:val="single" w:color="auto" w:sz="4" w:space="0"/>
              <w:left w:val="single" w:color="auto" w:sz="4" w:space="0"/>
              <w:bottom w:val="single" w:color="auto" w:sz="12"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 xml:space="preserve">            40.00 </w:t>
            </w:r>
          </w:p>
        </w:tc>
        <w:tc>
          <w:tcPr>
            <w:tcW w:w="1559" w:type="dxa"/>
            <w:tcBorders>
              <w:top w:val="single" w:color="auto" w:sz="4" w:space="0"/>
              <w:left w:val="single" w:color="auto" w:sz="4" w:space="0"/>
              <w:bottom w:val="single" w:color="auto" w:sz="12" w:space="0"/>
              <w:right w:val="single" w:color="auto" w:sz="4" w:space="0"/>
            </w:tcBorders>
            <w:vAlign w:val="bottom"/>
          </w:tcPr>
          <w:p>
            <w:pPr>
              <w:jc w:val="right"/>
              <w:rPr>
                <w:rFonts w:ascii="宋体" w:hAnsi="宋体"/>
                <w:color w:val="auto"/>
                <w:sz w:val="18"/>
                <w:szCs w:val="18"/>
              </w:rPr>
            </w:pPr>
            <w:r>
              <w:rPr>
                <w:rFonts w:ascii="宋体" w:hAnsi="宋体"/>
                <w:color w:val="auto"/>
                <w:sz w:val="18"/>
                <w:szCs w:val="18"/>
              </w:rPr>
              <w:t xml:space="preserve">    -2,572,657.24 </w:t>
            </w:r>
          </w:p>
        </w:tc>
        <w:tc>
          <w:tcPr>
            <w:tcW w:w="1418" w:type="dxa"/>
            <w:tcBorders>
              <w:top w:val="single" w:color="auto" w:sz="4" w:space="0"/>
              <w:left w:val="single" w:color="auto" w:sz="4" w:space="0"/>
              <w:bottom w:val="single" w:color="auto" w:sz="12" w:space="0"/>
              <w:right w:val="single" w:color="auto" w:sz="4" w:space="0"/>
            </w:tcBorders>
            <w:vAlign w:val="bottom"/>
          </w:tcPr>
          <w:p>
            <w:pPr>
              <w:jc w:val="right"/>
              <w:rPr>
                <w:rFonts w:ascii="宋体" w:hAnsi="宋体"/>
                <w:color w:val="auto"/>
                <w:sz w:val="18"/>
                <w:szCs w:val="18"/>
              </w:rPr>
            </w:pPr>
            <w:r>
              <w:rPr>
                <w:rFonts w:hint="eastAsia" w:ascii="宋体" w:hAnsi="宋体"/>
                <w:color w:val="auto"/>
                <w:sz w:val="18"/>
                <w:szCs w:val="18"/>
              </w:rPr>
              <w:t>　</w:t>
            </w:r>
          </w:p>
        </w:tc>
        <w:tc>
          <w:tcPr>
            <w:tcW w:w="1644" w:type="dxa"/>
            <w:tcBorders>
              <w:top w:val="single" w:color="auto" w:sz="4" w:space="0"/>
              <w:left w:val="single" w:color="auto" w:sz="4" w:space="0"/>
              <w:bottom w:val="single" w:color="auto" w:sz="12" w:space="0"/>
            </w:tcBorders>
            <w:vAlign w:val="bottom"/>
          </w:tcPr>
          <w:p>
            <w:pPr>
              <w:jc w:val="right"/>
              <w:rPr>
                <w:rFonts w:ascii="宋体" w:hAnsi="宋体"/>
                <w:color w:val="auto"/>
                <w:sz w:val="18"/>
                <w:szCs w:val="18"/>
              </w:rPr>
            </w:pPr>
            <w:r>
              <w:rPr>
                <w:rFonts w:ascii="宋体" w:hAnsi="宋体"/>
                <w:color w:val="auto"/>
                <w:sz w:val="18"/>
                <w:szCs w:val="18"/>
              </w:rPr>
              <w:t xml:space="preserve"> 37,427,342.76 </w:t>
            </w:r>
          </w:p>
        </w:tc>
      </w:tr>
    </w:tbl>
    <w:p>
      <w:pPr>
        <w:spacing w:before="150" w:beforeLines="50" w:line="360" w:lineRule="auto"/>
        <w:ind w:right="119" w:firstLine="420" w:firstLineChars="200"/>
        <w:rPr>
          <w:rFonts w:ascii="宋体" w:hAnsi="宋体"/>
          <w:b/>
          <w:bCs/>
          <w:color w:val="auto"/>
          <w:szCs w:val="21"/>
        </w:rPr>
      </w:pPr>
      <w:r>
        <w:rPr>
          <w:rFonts w:hint="eastAsia" w:ascii="宋体" w:hAnsi="宋体"/>
          <w:b/>
          <w:bCs/>
          <w:color w:val="auto"/>
          <w:szCs w:val="21"/>
        </w:rPr>
        <w:t>（3）重要非全资子公司的主要财务信息</w:t>
      </w:r>
    </w:p>
    <w:p>
      <w:pPr>
        <w:spacing w:before="150" w:beforeLines="50" w:after="150" w:afterLines="50" w:line="360" w:lineRule="auto"/>
        <w:ind w:right="119" w:firstLine="420" w:firstLineChars="200"/>
        <w:rPr>
          <w:rFonts w:ascii="宋体" w:hAnsi="宋体"/>
          <w:bCs/>
          <w:color w:val="auto"/>
          <w:szCs w:val="21"/>
        </w:rPr>
      </w:pPr>
      <w:r>
        <w:rPr>
          <w:rFonts w:hint="eastAsia" w:ascii="宋体" w:hAnsi="宋体"/>
          <w:color w:val="auto"/>
          <w:szCs w:val="21"/>
        </w:rPr>
        <w:t>①资产和负债情况</w:t>
      </w:r>
    </w:p>
    <w:tbl>
      <w:tblPr>
        <w:tblStyle w:val="9"/>
        <w:tblW w:w="9781" w:type="dxa"/>
        <w:tblCaption w:val="&quot;\\tiantang1\共享文档\2、隆基机械2022-12\1、隆基机械年审2022-12\隆基机械附注2022\4、附注计算2022.12.xlsx&quot; &quot;附注格式2022!_ReportTable_0097&quot;"/>
        <w:tblDescription w:val="B930:H934"/>
        <w:tblInd w:w="-34"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559"/>
        <w:gridCol w:w="1276"/>
        <w:gridCol w:w="1559"/>
        <w:gridCol w:w="1276"/>
        <w:gridCol w:w="1167"/>
        <w:gridCol w:w="12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vMerge w:val="restart"/>
            <w:tcBorders>
              <w:top w:val="single" w:color="auto" w:sz="12" w:space="0"/>
              <w:bottom w:val="single" w:color="auto" w:sz="4" w:space="0"/>
            </w:tcBorders>
            <w:vAlign w:val="center"/>
          </w:tcPr>
          <w:p>
            <w:pPr>
              <w:spacing w:line="276" w:lineRule="auto"/>
              <w:ind w:right="-16"/>
              <w:jc w:val="center"/>
              <w:rPr>
                <w:rFonts w:ascii="Arial" w:hAnsi="Arial" w:cs="Arial"/>
                <w:b/>
                <w:bCs/>
                <w:color w:val="auto"/>
                <w:sz w:val="18"/>
                <w:szCs w:val="18"/>
              </w:rPr>
            </w:pPr>
            <w:r>
              <w:rPr>
                <w:rFonts w:hint="eastAsia" w:ascii="Arial" w:hAnsi="Arial" w:cs="Arial"/>
                <w:b/>
                <w:bCs/>
                <w:color w:val="auto"/>
                <w:sz w:val="18"/>
                <w:szCs w:val="18"/>
                <w:lang w:val="en-GB"/>
              </w:rPr>
              <w:t>子公司名称</w:t>
            </w:r>
          </w:p>
        </w:tc>
        <w:tc>
          <w:tcPr>
            <w:tcW w:w="8079" w:type="dxa"/>
            <w:gridSpan w:val="6"/>
            <w:tcBorders>
              <w:top w:val="single" w:color="auto" w:sz="12" w:space="0"/>
              <w:bottom w:val="single" w:color="auto" w:sz="4" w:space="0"/>
            </w:tcBorders>
            <w:vAlign w:val="center"/>
          </w:tcPr>
          <w:p>
            <w:pPr>
              <w:spacing w:line="276" w:lineRule="auto"/>
              <w:ind w:right="-16"/>
              <w:jc w:val="center"/>
              <w:rPr>
                <w:rFonts w:ascii="宋体" w:hAnsi="宋体" w:cs="Arial"/>
                <w:b/>
                <w:bCs/>
                <w:color w:val="auto"/>
                <w:sz w:val="18"/>
                <w:szCs w:val="18"/>
              </w:rPr>
            </w:pPr>
            <w:r>
              <w:rPr>
                <w:rFonts w:hint="eastAsia" w:ascii="宋体" w:hAnsi="宋体" w:cs="Arial"/>
                <w:b/>
                <w:bCs/>
                <w:color w:val="auto"/>
                <w:sz w:val="18"/>
                <w:szCs w:val="18"/>
                <w:lang w:val="en-GB"/>
              </w:rPr>
              <w:t>期末余额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vMerge w:val="continue"/>
            <w:tcBorders>
              <w:top w:val="single" w:color="auto" w:sz="4" w:space="0"/>
              <w:bottom w:val="single" w:color="auto" w:sz="12" w:space="0"/>
            </w:tcBorders>
            <w:vAlign w:val="center"/>
          </w:tcPr>
          <w:p>
            <w:pPr>
              <w:keepNext/>
              <w:widowControl/>
              <w:numPr>
                <w:ilvl w:val="0"/>
                <w:numId w:val="1"/>
              </w:numPr>
              <w:overflowPunct w:val="0"/>
              <w:autoSpaceDE w:val="0"/>
              <w:autoSpaceDN w:val="0"/>
              <w:adjustRightInd w:val="0"/>
              <w:spacing w:before="640" w:after="120"/>
              <w:jc w:val="center"/>
              <w:textAlignment w:val="baseline"/>
              <w:outlineLvl w:val="0"/>
              <w:rPr>
                <w:rFonts w:ascii="Arial" w:hAnsi="Arial" w:cs="Arial"/>
                <w:b/>
                <w:bCs/>
                <w:color w:val="auto"/>
                <w:sz w:val="18"/>
                <w:szCs w:val="18"/>
              </w:rPr>
            </w:pPr>
          </w:p>
        </w:tc>
        <w:tc>
          <w:tcPr>
            <w:tcW w:w="1559" w:type="dxa"/>
            <w:tcBorders>
              <w:top w:val="single" w:color="auto" w:sz="4" w:space="0"/>
              <w:bottom w:val="single" w:color="auto" w:sz="12" w:space="0"/>
            </w:tcBorders>
            <w:vAlign w:val="center"/>
          </w:tcPr>
          <w:p>
            <w:pPr>
              <w:spacing w:line="276" w:lineRule="auto"/>
              <w:jc w:val="center"/>
              <w:rPr>
                <w:rFonts w:ascii="Arial" w:hAnsi="Arial" w:cs="Arial"/>
                <w:b/>
                <w:color w:val="auto"/>
                <w:sz w:val="18"/>
                <w:szCs w:val="18"/>
              </w:rPr>
            </w:pPr>
            <w:r>
              <w:rPr>
                <w:rFonts w:hint="eastAsia" w:ascii="Arial" w:hAnsi="Arial" w:cs="Arial"/>
                <w:b/>
                <w:color w:val="auto"/>
                <w:sz w:val="18"/>
                <w:szCs w:val="18"/>
                <w:lang w:val="en-GB"/>
              </w:rPr>
              <w:t>流动资产</w:t>
            </w:r>
          </w:p>
        </w:tc>
        <w:tc>
          <w:tcPr>
            <w:tcW w:w="1276" w:type="dxa"/>
            <w:tcBorders>
              <w:top w:val="single" w:color="auto" w:sz="4" w:space="0"/>
              <w:bottom w:val="single" w:color="auto" w:sz="12" w:space="0"/>
            </w:tcBorders>
            <w:vAlign w:val="center"/>
          </w:tcPr>
          <w:p>
            <w:pPr>
              <w:spacing w:line="276" w:lineRule="auto"/>
              <w:ind w:left="-40" w:right="-97"/>
              <w:jc w:val="center"/>
              <w:rPr>
                <w:rFonts w:ascii="Arial" w:hAnsi="Arial" w:cs="Arial"/>
                <w:b/>
                <w:color w:val="auto"/>
                <w:sz w:val="18"/>
                <w:szCs w:val="18"/>
              </w:rPr>
            </w:pPr>
            <w:r>
              <w:rPr>
                <w:rFonts w:hint="eastAsia" w:ascii="Arial" w:hAnsi="Arial" w:cs="Arial"/>
                <w:b/>
                <w:color w:val="auto"/>
                <w:sz w:val="18"/>
                <w:szCs w:val="18"/>
                <w:lang w:val="en-GB"/>
              </w:rPr>
              <w:t>非流动资产</w:t>
            </w:r>
          </w:p>
        </w:tc>
        <w:tc>
          <w:tcPr>
            <w:tcW w:w="1559" w:type="dxa"/>
            <w:tcBorders>
              <w:top w:val="single" w:color="auto" w:sz="4" w:space="0"/>
              <w:bottom w:val="single" w:color="auto" w:sz="12" w:space="0"/>
            </w:tcBorders>
            <w:vAlign w:val="center"/>
          </w:tcPr>
          <w:p>
            <w:pPr>
              <w:spacing w:line="276" w:lineRule="auto"/>
              <w:jc w:val="center"/>
              <w:rPr>
                <w:rFonts w:ascii="Arial" w:hAnsi="Arial" w:cs="Arial"/>
                <w:b/>
                <w:color w:val="auto"/>
                <w:sz w:val="18"/>
                <w:szCs w:val="18"/>
              </w:rPr>
            </w:pPr>
            <w:r>
              <w:rPr>
                <w:rFonts w:hint="eastAsia" w:ascii="Arial" w:hAnsi="Arial" w:cs="Arial"/>
                <w:b/>
                <w:color w:val="auto"/>
                <w:sz w:val="18"/>
                <w:szCs w:val="18"/>
                <w:lang w:val="en-GB"/>
              </w:rPr>
              <w:t>资产合计</w:t>
            </w:r>
          </w:p>
        </w:tc>
        <w:tc>
          <w:tcPr>
            <w:tcW w:w="1276" w:type="dxa"/>
            <w:tcBorders>
              <w:top w:val="single" w:color="auto" w:sz="4" w:space="0"/>
              <w:bottom w:val="single" w:color="auto" w:sz="12" w:space="0"/>
            </w:tcBorders>
            <w:vAlign w:val="center"/>
          </w:tcPr>
          <w:p>
            <w:pPr>
              <w:spacing w:line="276" w:lineRule="auto"/>
              <w:jc w:val="center"/>
              <w:rPr>
                <w:rFonts w:ascii="Arial" w:hAnsi="Arial" w:cs="Arial"/>
                <w:b/>
                <w:color w:val="auto"/>
                <w:sz w:val="18"/>
                <w:szCs w:val="18"/>
              </w:rPr>
            </w:pPr>
            <w:r>
              <w:rPr>
                <w:rFonts w:hint="eastAsia" w:ascii="Arial" w:hAnsi="Arial" w:cs="Arial"/>
                <w:b/>
                <w:color w:val="auto"/>
                <w:sz w:val="18"/>
                <w:szCs w:val="18"/>
                <w:lang w:val="en-GB"/>
              </w:rPr>
              <w:t>流动负债</w:t>
            </w:r>
          </w:p>
        </w:tc>
        <w:tc>
          <w:tcPr>
            <w:tcW w:w="1167" w:type="dxa"/>
            <w:tcBorders>
              <w:top w:val="single" w:color="auto" w:sz="4" w:space="0"/>
              <w:bottom w:val="single" w:color="auto" w:sz="12" w:space="0"/>
            </w:tcBorders>
            <w:vAlign w:val="center"/>
          </w:tcPr>
          <w:p>
            <w:pPr>
              <w:ind w:left="-40" w:right="-97"/>
              <w:jc w:val="center"/>
              <w:rPr>
                <w:rFonts w:ascii="Arial" w:hAnsi="Arial" w:cs="Arial"/>
                <w:b/>
                <w:color w:val="auto"/>
                <w:sz w:val="18"/>
                <w:szCs w:val="18"/>
              </w:rPr>
            </w:pPr>
            <w:r>
              <w:rPr>
                <w:rFonts w:hint="eastAsia" w:ascii="Arial" w:hAnsi="Arial" w:cs="Arial"/>
                <w:b/>
                <w:color w:val="auto"/>
                <w:sz w:val="18"/>
                <w:szCs w:val="18"/>
                <w:lang w:val="en-GB"/>
              </w:rPr>
              <w:t>非流动负债</w:t>
            </w:r>
          </w:p>
        </w:tc>
        <w:tc>
          <w:tcPr>
            <w:tcW w:w="1242" w:type="dxa"/>
            <w:tcBorders>
              <w:top w:val="single" w:color="auto" w:sz="4" w:space="0"/>
              <w:bottom w:val="single" w:color="auto" w:sz="12" w:space="0"/>
            </w:tcBorders>
            <w:vAlign w:val="center"/>
          </w:tcPr>
          <w:p>
            <w:pPr>
              <w:spacing w:line="276" w:lineRule="auto"/>
              <w:jc w:val="center"/>
              <w:rPr>
                <w:rFonts w:ascii="Arial" w:hAnsi="Arial" w:cs="Arial"/>
                <w:b/>
                <w:color w:val="auto"/>
                <w:sz w:val="18"/>
                <w:szCs w:val="18"/>
              </w:rPr>
            </w:pPr>
            <w:r>
              <w:rPr>
                <w:rFonts w:hint="eastAsia" w:ascii="Arial" w:hAnsi="Arial" w:cs="Arial"/>
                <w:b/>
                <w:color w:val="auto"/>
                <w:sz w:val="18"/>
                <w:szCs w:val="18"/>
                <w:lang w:val="en-GB"/>
              </w:rPr>
              <w:t>负债合计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tcBorders>
              <w:top w:val="single" w:color="auto" w:sz="12" w:space="0"/>
            </w:tcBorders>
            <w:vAlign w:val="center"/>
          </w:tcPr>
          <w:p>
            <w:pPr>
              <w:rPr>
                <w:rFonts w:ascii="宋体" w:hAnsi="宋体" w:cs="宋体"/>
                <w:color w:val="auto"/>
                <w:sz w:val="18"/>
                <w:szCs w:val="18"/>
              </w:rPr>
            </w:pPr>
            <w:r>
              <w:rPr>
                <w:rFonts w:hint="eastAsia" w:asciiTheme="minorEastAsia" w:hAnsiTheme="minorEastAsia" w:eastAsiaTheme="minorEastAsia"/>
                <w:color w:val="auto"/>
                <w:sz w:val="18"/>
                <w:szCs w:val="18"/>
              </w:rPr>
              <w:t>海南伟隆投资有限公司</w:t>
            </w:r>
          </w:p>
        </w:tc>
        <w:tc>
          <w:tcPr>
            <w:tcW w:w="1559" w:type="dxa"/>
            <w:tcBorders>
              <w:top w:val="single" w:color="auto" w:sz="12" w:space="0"/>
            </w:tcBorders>
            <w:vAlign w:val="bottom"/>
          </w:tcPr>
          <w:p>
            <w:pPr>
              <w:jc w:val="right"/>
              <w:rPr>
                <w:rFonts w:ascii="宋体" w:hAnsi="宋体" w:cs="宋体"/>
                <w:color w:val="auto"/>
                <w:sz w:val="18"/>
                <w:szCs w:val="18"/>
              </w:rPr>
            </w:pPr>
            <w:r>
              <w:rPr>
                <w:rFonts w:ascii="宋体" w:hAnsi="宋体"/>
                <w:color w:val="auto"/>
                <w:sz w:val="18"/>
                <w:szCs w:val="18"/>
              </w:rPr>
              <w:t xml:space="preserve">       93,586,356.91 </w:t>
            </w:r>
          </w:p>
        </w:tc>
        <w:tc>
          <w:tcPr>
            <w:tcW w:w="1276" w:type="dxa"/>
            <w:tcBorders>
              <w:top w:val="single" w:color="auto" w:sz="12" w:space="0"/>
            </w:tcBorders>
            <w:vAlign w:val="bottom"/>
          </w:tcPr>
          <w:p>
            <w:pPr>
              <w:jc w:val="right"/>
              <w:rPr>
                <w:rFonts w:ascii="宋体" w:hAnsi="宋体" w:cs="宋体"/>
                <w:color w:val="auto"/>
                <w:sz w:val="18"/>
                <w:szCs w:val="18"/>
              </w:rPr>
            </w:pPr>
            <w:r>
              <w:rPr>
                <w:rFonts w:hint="eastAsia" w:ascii="宋体" w:hAnsi="宋体"/>
                <w:color w:val="auto"/>
                <w:sz w:val="18"/>
                <w:szCs w:val="18"/>
              </w:rPr>
              <w:t>　</w:t>
            </w:r>
          </w:p>
        </w:tc>
        <w:tc>
          <w:tcPr>
            <w:tcW w:w="1559" w:type="dxa"/>
            <w:tcBorders>
              <w:top w:val="single" w:color="auto" w:sz="12" w:space="0"/>
            </w:tcBorders>
            <w:vAlign w:val="bottom"/>
          </w:tcPr>
          <w:p>
            <w:pPr>
              <w:jc w:val="right"/>
              <w:rPr>
                <w:rFonts w:ascii="宋体" w:hAnsi="宋体" w:cs="宋体"/>
                <w:color w:val="auto"/>
                <w:sz w:val="18"/>
                <w:szCs w:val="18"/>
              </w:rPr>
            </w:pPr>
            <w:r>
              <w:rPr>
                <w:rFonts w:ascii="宋体" w:hAnsi="宋体"/>
                <w:color w:val="auto"/>
                <w:sz w:val="18"/>
                <w:szCs w:val="18"/>
              </w:rPr>
              <w:t xml:space="preserve">    93,586,356.91 </w:t>
            </w:r>
          </w:p>
        </w:tc>
        <w:tc>
          <w:tcPr>
            <w:tcW w:w="1276" w:type="dxa"/>
            <w:tcBorders>
              <w:top w:val="single" w:color="auto" w:sz="12" w:space="0"/>
            </w:tcBorders>
            <w:vAlign w:val="bottom"/>
          </w:tcPr>
          <w:p>
            <w:pPr>
              <w:jc w:val="right"/>
              <w:rPr>
                <w:rFonts w:ascii="宋体" w:hAnsi="宋体" w:cs="宋体"/>
                <w:color w:val="auto"/>
                <w:sz w:val="18"/>
                <w:szCs w:val="18"/>
              </w:rPr>
            </w:pPr>
            <w:r>
              <w:rPr>
                <w:rFonts w:ascii="宋体" w:hAnsi="宋体"/>
                <w:color w:val="auto"/>
                <w:sz w:val="18"/>
                <w:szCs w:val="18"/>
              </w:rPr>
              <w:t xml:space="preserve">        18,000.00 </w:t>
            </w:r>
          </w:p>
        </w:tc>
        <w:tc>
          <w:tcPr>
            <w:tcW w:w="1167" w:type="dxa"/>
            <w:tcBorders>
              <w:top w:val="single" w:color="auto" w:sz="12" w:space="0"/>
            </w:tcBorders>
            <w:vAlign w:val="bottom"/>
          </w:tcPr>
          <w:p>
            <w:pPr>
              <w:jc w:val="right"/>
              <w:rPr>
                <w:rFonts w:ascii="宋体" w:hAnsi="宋体" w:cs="宋体"/>
                <w:color w:val="auto"/>
                <w:sz w:val="18"/>
                <w:szCs w:val="18"/>
              </w:rPr>
            </w:pPr>
            <w:r>
              <w:rPr>
                <w:rFonts w:hint="eastAsia" w:ascii="宋体" w:hAnsi="宋体"/>
                <w:color w:val="auto"/>
                <w:sz w:val="18"/>
                <w:szCs w:val="18"/>
              </w:rPr>
              <w:t>　</w:t>
            </w:r>
          </w:p>
        </w:tc>
        <w:tc>
          <w:tcPr>
            <w:tcW w:w="1242" w:type="dxa"/>
            <w:tcBorders>
              <w:top w:val="single" w:color="auto" w:sz="12" w:space="0"/>
            </w:tcBorders>
            <w:vAlign w:val="bottom"/>
          </w:tcPr>
          <w:p>
            <w:pPr>
              <w:jc w:val="right"/>
              <w:rPr>
                <w:rFonts w:ascii="宋体" w:hAnsi="宋体" w:cs="宋体"/>
                <w:color w:val="auto"/>
                <w:sz w:val="18"/>
                <w:szCs w:val="18"/>
              </w:rPr>
            </w:pPr>
            <w:r>
              <w:rPr>
                <w:rFonts w:ascii="宋体" w:hAnsi="宋体"/>
                <w:color w:val="auto"/>
                <w:sz w:val="18"/>
                <w:szCs w:val="18"/>
              </w:rPr>
              <w:t xml:space="preserve"> 18,000.00 </w:t>
            </w:r>
          </w:p>
        </w:tc>
      </w:tr>
    </w:tbl>
    <w:p>
      <w:pPr>
        <w:spacing w:line="360" w:lineRule="auto"/>
        <w:ind w:right="629" w:firstLine="420" w:firstLineChars="200"/>
        <w:rPr>
          <w:rFonts w:ascii="Arial" w:hAnsi="Arial" w:cs="Arial"/>
          <w:color w:val="auto"/>
        </w:rPr>
      </w:pPr>
      <w:r>
        <w:rPr>
          <w:rFonts w:hint="eastAsia" w:ascii="Arial" w:hAnsi="Arial" w:cs="Arial"/>
          <w:color w:val="auto"/>
        </w:rPr>
        <w:t>（续）</w:t>
      </w:r>
    </w:p>
    <w:tbl>
      <w:tblPr>
        <w:tblStyle w:val="9"/>
        <w:tblW w:w="9781" w:type="dxa"/>
        <w:tblInd w:w="-34"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88"/>
        <w:gridCol w:w="1489"/>
        <w:gridCol w:w="1488"/>
        <w:gridCol w:w="1489"/>
        <w:gridCol w:w="1167"/>
        <w:gridCol w:w="12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vMerge w:val="restart"/>
            <w:tcBorders>
              <w:top w:val="single" w:color="auto" w:sz="12" w:space="0"/>
              <w:bottom w:val="single" w:color="auto" w:sz="4" w:space="0"/>
            </w:tcBorders>
            <w:vAlign w:val="center"/>
          </w:tcPr>
          <w:p>
            <w:pPr>
              <w:spacing w:line="276" w:lineRule="auto"/>
              <w:ind w:right="-16"/>
              <w:jc w:val="center"/>
              <w:rPr>
                <w:rFonts w:ascii="Arial" w:hAnsi="Arial" w:cs="Arial"/>
                <w:b/>
                <w:bCs/>
                <w:color w:val="auto"/>
                <w:sz w:val="18"/>
                <w:szCs w:val="18"/>
              </w:rPr>
            </w:pPr>
            <w:r>
              <w:rPr>
                <w:rFonts w:hint="eastAsia" w:ascii="Arial" w:hAnsi="Arial" w:cs="Arial"/>
                <w:b/>
                <w:bCs/>
                <w:color w:val="auto"/>
                <w:sz w:val="18"/>
                <w:szCs w:val="18"/>
                <w:lang w:val="en-GB"/>
              </w:rPr>
              <w:t>子公司名称</w:t>
            </w:r>
          </w:p>
        </w:tc>
        <w:tc>
          <w:tcPr>
            <w:tcW w:w="8363" w:type="dxa"/>
            <w:gridSpan w:val="6"/>
            <w:tcBorders>
              <w:top w:val="single" w:color="auto" w:sz="12" w:space="0"/>
              <w:bottom w:val="single" w:color="auto" w:sz="4" w:space="0"/>
            </w:tcBorders>
            <w:vAlign w:val="center"/>
          </w:tcPr>
          <w:p>
            <w:pPr>
              <w:spacing w:line="276" w:lineRule="auto"/>
              <w:ind w:right="-16"/>
              <w:jc w:val="center"/>
              <w:rPr>
                <w:rFonts w:ascii="Arial" w:hAnsi="Arial" w:cs="Arial"/>
                <w:b/>
                <w:bCs/>
                <w:color w:val="auto"/>
                <w:sz w:val="18"/>
                <w:szCs w:val="18"/>
              </w:rPr>
            </w:pPr>
            <w:r>
              <w:rPr>
                <w:rFonts w:hint="eastAsia" w:ascii="宋体" w:hAnsi="宋体" w:cs="Arial"/>
                <w:b/>
                <w:bCs/>
                <w:color w:val="auto"/>
                <w:sz w:val="18"/>
                <w:szCs w:val="18"/>
                <w:lang w:val="en-GB"/>
              </w:rPr>
              <w:t>期初余额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vMerge w:val="continue"/>
            <w:tcBorders>
              <w:top w:val="single" w:color="auto" w:sz="4" w:space="0"/>
              <w:bottom w:val="single" w:color="auto" w:sz="12" w:space="0"/>
            </w:tcBorders>
            <w:vAlign w:val="center"/>
          </w:tcPr>
          <w:p>
            <w:pPr>
              <w:keepNext/>
              <w:widowControl/>
              <w:numPr>
                <w:ilvl w:val="0"/>
                <w:numId w:val="1"/>
              </w:numPr>
              <w:overflowPunct w:val="0"/>
              <w:autoSpaceDE w:val="0"/>
              <w:autoSpaceDN w:val="0"/>
              <w:adjustRightInd w:val="0"/>
              <w:spacing w:before="640" w:after="120"/>
              <w:jc w:val="center"/>
              <w:textAlignment w:val="baseline"/>
              <w:outlineLvl w:val="0"/>
              <w:rPr>
                <w:rFonts w:ascii="Arial" w:hAnsi="Arial" w:cs="Arial"/>
                <w:b/>
                <w:bCs/>
                <w:color w:val="auto"/>
                <w:sz w:val="18"/>
                <w:szCs w:val="18"/>
              </w:rPr>
            </w:pPr>
          </w:p>
        </w:tc>
        <w:tc>
          <w:tcPr>
            <w:tcW w:w="1488" w:type="dxa"/>
            <w:tcBorders>
              <w:top w:val="single" w:color="auto" w:sz="4" w:space="0"/>
              <w:bottom w:val="single" w:color="auto" w:sz="12" w:space="0"/>
            </w:tcBorders>
            <w:vAlign w:val="center"/>
          </w:tcPr>
          <w:p>
            <w:pPr>
              <w:jc w:val="center"/>
              <w:rPr>
                <w:rFonts w:ascii="Arial" w:hAnsi="Arial" w:cs="Arial"/>
                <w:b/>
                <w:color w:val="auto"/>
                <w:sz w:val="18"/>
                <w:szCs w:val="18"/>
              </w:rPr>
            </w:pPr>
            <w:r>
              <w:rPr>
                <w:rFonts w:hint="eastAsia" w:ascii="Arial" w:hAnsi="Arial" w:cs="Arial"/>
                <w:b/>
                <w:color w:val="auto"/>
                <w:sz w:val="18"/>
                <w:szCs w:val="18"/>
                <w:lang w:val="en-GB"/>
              </w:rPr>
              <w:t>流动资产</w:t>
            </w:r>
          </w:p>
        </w:tc>
        <w:tc>
          <w:tcPr>
            <w:tcW w:w="1489" w:type="dxa"/>
            <w:tcBorders>
              <w:top w:val="single" w:color="auto" w:sz="4" w:space="0"/>
              <w:bottom w:val="single" w:color="auto" w:sz="12" w:space="0"/>
            </w:tcBorders>
            <w:vAlign w:val="center"/>
          </w:tcPr>
          <w:p>
            <w:pPr>
              <w:ind w:left="-40" w:right="-97"/>
              <w:jc w:val="center"/>
              <w:rPr>
                <w:rFonts w:ascii="Arial" w:hAnsi="Arial" w:cs="Arial"/>
                <w:b/>
                <w:color w:val="auto"/>
                <w:sz w:val="18"/>
                <w:szCs w:val="18"/>
              </w:rPr>
            </w:pPr>
            <w:r>
              <w:rPr>
                <w:rFonts w:hint="eastAsia" w:ascii="Arial" w:hAnsi="Arial" w:cs="Arial"/>
                <w:b/>
                <w:color w:val="auto"/>
                <w:sz w:val="18"/>
                <w:szCs w:val="18"/>
                <w:lang w:val="en-GB"/>
              </w:rPr>
              <w:t>非流动资产</w:t>
            </w:r>
          </w:p>
        </w:tc>
        <w:tc>
          <w:tcPr>
            <w:tcW w:w="1488" w:type="dxa"/>
            <w:tcBorders>
              <w:top w:val="single" w:color="auto" w:sz="4" w:space="0"/>
              <w:bottom w:val="single" w:color="auto" w:sz="12" w:space="0"/>
            </w:tcBorders>
            <w:vAlign w:val="center"/>
          </w:tcPr>
          <w:p>
            <w:pPr>
              <w:jc w:val="center"/>
              <w:rPr>
                <w:rFonts w:ascii="Arial" w:hAnsi="Arial" w:cs="Arial"/>
                <w:b/>
                <w:color w:val="auto"/>
                <w:sz w:val="18"/>
                <w:szCs w:val="18"/>
              </w:rPr>
            </w:pPr>
            <w:r>
              <w:rPr>
                <w:rFonts w:hint="eastAsia" w:ascii="Arial" w:hAnsi="Arial" w:cs="Arial"/>
                <w:b/>
                <w:color w:val="auto"/>
                <w:sz w:val="18"/>
                <w:szCs w:val="18"/>
                <w:lang w:val="en-GB"/>
              </w:rPr>
              <w:t>资产合计</w:t>
            </w:r>
          </w:p>
        </w:tc>
        <w:tc>
          <w:tcPr>
            <w:tcW w:w="1489" w:type="dxa"/>
            <w:tcBorders>
              <w:top w:val="single" w:color="auto" w:sz="4" w:space="0"/>
              <w:bottom w:val="single" w:color="auto" w:sz="12" w:space="0"/>
            </w:tcBorders>
            <w:vAlign w:val="center"/>
          </w:tcPr>
          <w:p>
            <w:pPr>
              <w:jc w:val="center"/>
              <w:rPr>
                <w:rFonts w:ascii="Arial" w:hAnsi="Arial" w:cs="Arial"/>
                <w:b/>
                <w:color w:val="auto"/>
                <w:sz w:val="18"/>
                <w:szCs w:val="18"/>
              </w:rPr>
            </w:pPr>
            <w:r>
              <w:rPr>
                <w:rFonts w:hint="eastAsia" w:ascii="Arial" w:hAnsi="Arial" w:cs="Arial"/>
                <w:b/>
                <w:color w:val="auto"/>
                <w:sz w:val="18"/>
                <w:szCs w:val="18"/>
                <w:lang w:val="en-GB"/>
              </w:rPr>
              <w:t>流动负债</w:t>
            </w:r>
          </w:p>
        </w:tc>
        <w:tc>
          <w:tcPr>
            <w:tcW w:w="1167" w:type="dxa"/>
            <w:tcBorders>
              <w:top w:val="single" w:color="auto" w:sz="4" w:space="0"/>
              <w:bottom w:val="single" w:color="auto" w:sz="12" w:space="0"/>
            </w:tcBorders>
            <w:vAlign w:val="center"/>
          </w:tcPr>
          <w:p>
            <w:pPr>
              <w:ind w:left="-40" w:right="-97"/>
              <w:jc w:val="center"/>
              <w:rPr>
                <w:rFonts w:ascii="Arial" w:hAnsi="Arial" w:cs="Arial"/>
                <w:b/>
                <w:color w:val="auto"/>
                <w:sz w:val="18"/>
                <w:szCs w:val="18"/>
              </w:rPr>
            </w:pPr>
            <w:r>
              <w:rPr>
                <w:rFonts w:hint="eastAsia" w:ascii="Arial" w:hAnsi="Arial" w:cs="Arial"/>
                <w:b/>
                <w:color w:val="auto"/>
                <w:sz w:val="18"/>
                <w:szCs w:val="18"/>
                <w:lang w:val="en-GB"/>
              </w:rPr>
              <w:t>非流动负债</w:t>
            </w:r>
          </w:p>
        </w:tc>
        <w:tc>
          <w:tcPr>
            <w:tcW w:w="1242" w:type="dxa"/>
            <w:tcBorders>
              <w:top w:val="single" w:color="auto" w:sz="4" w:space="0"/>
              <w:bottom w:val="single" w:color="auto" w:sz="12" w:space="0"/>
            </w:tcBorders>
            <w:vAlign w:val="center"/>
          </w:tcPr>
          <w:p>
            <w:pPr>
              <w:jc w:val="center"/>
              <w:rPr>
                <w:rFonts w:ascii="Arial" w:hAnsi="Arial" w:cs="Arial"/>
                <w:b/>
                <w:color w:val="auto"/>
                <w:sz w:val="18"/>
                <w:szCs w:val="18"/>
              </w:rPr>
            </w:pPr>
            <w:r>
              <w:rPr>
                <w:rFonts w:hint="eastAsia" w:ascii="Arial" w:hAnsi="Arial" w:cs="Arial"/>
                <w:b/>
                <w:color w:val="auto"/>
                <w:sz w:val="18"/>
                <w:szCs w:val="18"/>
                <w:lang w:val="en-GB"/>
              </w:rPr>
              <w:t>负债合计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tcBorders>
              <w:top w:val="single" w:color="auto" w:sz="12" w:space="0"/>
            </w:tcBorders>
            <w:vAlign w:val="center"/>
          </w:tcPr>
          <w:p>
            <w:pPr>
              <w:widowControl/>
              <w:jc w:val="left"/>
              <w:rPr>
                <w:rFonts w:ascii="宋体" w:hAnsi="宋体" w:cs="宋体"/>
                <w:color w:val="auto"/>
                <w:kern w:val="0"/>
                <w:sz w:val="18"/>
                <w:szCs w:val="18"/>
              </w:rPr>
            </w:pPr>
            <w:r>
              <w:rPr>
                <w:rFonts w:hint="eastAsia" w:asciiTheme="minorEastAsia" w:hAnsiTheme="minorEastAsia" w:eastAsiaTheme="minorEastAsia"/>
                <w:color w:val="auto"/>
                <w:sz w:val="18"/>
                <w:szCs w:val="18"/>
              </w:rPr>
              <w:t>海南伟隆投资有限公司</w:t>
            </w:r>
          </w:p>
        </w:tc>
        <w:tc>
          <w:tcPr>
            <w:tcW w:w="1488" w:type="dxa"/>
            <w:tcBorders>
              <w:top w:val="single" w:color="auto" w:sz="12" w:space="0"/>
            </w:tcBorders>
            <w:vAlign w:val="bottom"/>
          </w:tcPr>
          <w:p>
            <w:pPr>
              <w:jc w:val="right"/>
              <w:rPr>
                <w:rFonts w:ascii="宋体" w:hAnsi="宋体" w:cs="宋体"/>
                <w:color w:val="auto"/>
                <w:sz w:val="18"/>
                <w:szCs w:val="18"/>
              </w:rPr>
            </w:pPr>
          </w:p>
        </w:tc>
        <w:tc>
          <w:tcPr>
            <w:tcW w:w="1489" w:type="dxa"/>
            <w:tcBorders>
              <w:top w:val="single" w:color="auto" w:sz="12" w:space="0"/>
            </w:tcBorders>
            <w:vAlign w:val="bottom"/>
          </w:tcPr>
          <w:p>
            <w:pPr>
              <w:jc w:val="right"/>
              <w:rPr>
                <w:rFonts w:ascii="宋体" w:hAnsi="宋体" w:cs="宋体"/>
                <w:color w:val="auto"/>
                <w:sz w:val="18"/>
                <w:szCs w:val="18"/>
              </w:rPr>
            </w:pPr>
          </w:p>
        </w:tc>
        <w:tc>
          <w:tcPr>
            <w:tcW w:w="1488" w:type="dxa"/>
            <w:tcBorders>
              <w:top w:val="single" w:color="auto" w:sz="12" w:space="0"/>
            </w:tcBorders>
            <w:vAlign w:val="bottom"/>
          </w:tcPr>
          <w:p>
            <w:pPr>
              <w:jc w:val="right"/>
              <w:rPr>
                <w:rFonts w:ascii="宋体" w:hAnsi="宋体" w:cs="宋体"/>
                <w:color w:val="auto"/>
                <w:sz w:val="18"/>
                <w:szCs w:val="18"/>
              </w:rPr>
            </w:pPr>
          </w:p>
        </w:tc>
        <w:tc>
          <w:tcPr>
            <w:tcW w:w="1489" w:type="dxa"/>
            <w:tcBorders>
              <w:top w:val="single" w:color="auto" w:sz="12" w:space="0"/>
            </w:tcBorders>
            <w:vAlign w:val="bottom"/>
          </w:tcPr>
          <w:p>
            <w:pPr>
              <w:jc w:val="right"/>
              <w:rPr>
                <w:rFonts w:ascii="宋体" w:hAnsi="宋体" w:cs="宋体"/>
                <w:color w:val="auto"/>
                <w:sz w:val="18"/>
                <w:szCs w:val="18"/>
              </w:rPr>
            </w:pPr>
          </w:p>
        </w:tc>
        <w:tc>
          <w:tcPr>
            <w:tcW w:w="1167" w:type="dxa"/>
            <w:tcBorders>
              <w:top w:val="single" w:color="auto" w:sz="12" w:space="0"/>
            </w:tcBorders>
            <w:vAlign w:val="bottom"/>
          </w:tcPr>
          <w:p>
            <w:pPr>
              <w:jc w:val="right"/>
              <w:rPr>
                <w:rFonts w:ascii="宋体" w:hAnsi="宋体" w:cs="宋体"/>
                <w:color w:val="auto"/>
                <w:sz w:val="18"/>
                <w:szCs w:val="18"/>
              </w:rPr>
            </w:pPr>
          </w:p>
        </w:tc>
        <w:tc>
          <w:tcPr>
            <w:tcW w:w="1242" w:type="dxa"/>
            <w:tcBorders>
              <w:top w:val="single" w:color="auto" w:sz="12" w:space="0"/>
            </w:tcBorders>
            <w:vAlign w:val="bottom"/>
          </w:tcPr>
          <w:p>
            <w:pPr>
              <w:jc w:val="right"/>
              <w:rPr>
                <w:rFonts w:ascii="宋体" w:hAnsi="宋体" w:cs="宋体"/>
                <w:color w:val="auto"/>
                <w:sz w:val="18"/>
                <w:szCs w:val="18"/>
              </w:rPr>
            </w:pPr>
          </w:p>
        </w:tc>
      </w:tr>
    </w:tbl>
    <w:p>
      <w:pPr>
        <w:spacing w:before="150" w:beforeLines="50" w:after="150" w:afterLines="50" w:line="360" w:lineRule="auto"/>
        <w:ind w:right="629" w:firstLine="525" w:firstLineChars="250"/>
        <w:rPr>
          <w:rFonts w:ascii="宋体" w:hAnsi="宋体" w:cs="Arial"/>
          <w:color w:val="auto"/>
        </w:rPr>
      </w:pPr>
      <w:r>
        <w:rPr>
          <w:rFonts w:hint="eastAsia" w:ascii="宋体" w:hAnsi="宋体" w:cs="Arial"/>
          <w:color w:val="auto"/>
        </w:rPr>
        <w:t>②</w:t>
      </w:r>
      <w:r>
        <w:rPr>
          <w:rFonts w:hint="eastAsia" w:ascii="宋体" w:hAnsi="宋体"/>
          <w:color w:val="auto"/>
          <w:szCs w:val="21"/>
        </w:rPr>
        <w:t>损益和现金流量情况</w:t>
      </w:r>
    </w:p>
    <w:tbl>
      <w:tblPr>
        <w:tblStyle w:val="9"/>
        <w:tblW w:w="9214" w:type="dxa"/>
        <w:tblCaption w:val="&quot;\\tiantang1\共享文档\2、隆基机械2022-12\1、隆基机械年审2022-12\隆基机械附注2022\4、附注计算2022.12.xlsx&quot; &quot;附注格式2022!_ReportTable_0099&quot;"/>
        <w:tblDescription w:val="B946:F950"/>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01"/>
        <w:gridCol w:w="1559"/>
        <w:gridCol w:w="1558"/>
        <w:gridCol w:w="1595"/>
        <w:gridCol w:w="17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01" w:type="dxa"/>
            <w:vMerge w:val="restart"/>
            <w:tcBorders>
              <w:top w:val="single" w:color="auto" w:sz="12" w:space="0"/>
              <w:bottom w:val="single" w:color="auto" w:sz="4" w:space="0"/>
            </w:tcBorders>
            <w:vAlign w:val="center"/>
          </w:tcPr>
          <w:p>
            <w:pPr>
              <w:spacing w:line="276" w:lineRule="auto"/>
              <w:ind w:right="-16"/>
              <w:jc w:val="center"/>
              <w:rPr>
                <w:rFonts w:ascii="Arial" w:hAnsi="Arial" w:cs="Arial"/>
                <w:b/>
                <w:bCs/>
                <w:color w:val="auto"/>
                <w:sz w:val="18"/>
                <w:szCs w:val="18"/>
              </w:rPr>
            </w:pPr>
            <w:r>
              <w:rPr>
                <w:rFonts w:hint="eastAsia" w:ascii="Arial" w:hAnsi="Arial" w:cs="Arial"/>
                <w:b/>
                <w:bCs/>
                <w:color w:val="auto"/>
                <w:sz w:val="18"/>
                <w:szCs w:val="18"/>
                <w:lang w:val="en-GB"/>
              </w:rPr>
              <w:t>子公司名称</w:t>
            </w:r>
          </w:p>
        </w:tc>
        <w:tc>
          <w:tcPr>
            <w:tcW w:w="6413" w:type="dxa"/>
            <w:gridSpan w:val="4"/>
            <w:tcBorders>
              <w:top w:val="single" w:color="auto" w:sz="12" w:space="0"/>
              <w:bottom w:val="single" w:color="auto" w:sz="4" w:space="0"/>
            </w:tcBorders>
            <w:vAlign w:val="center"/>
          </w:tcPr>
          <w:p>
            <w:pPr>
              <w:spacing w:line="276" w:lineRule="auto"/>
              <w:ind w:right="-16"/>
              <w:jc w:val="center"/>
              <w:rPr>
                <w:rFonts w:ascii="宋体" w:hAnsi="宋体" w:cs="Arial"/>
                <w:b/>
                <w:bCs/>
                <w:color w:val="auto"/>
                <w:sz w:val="18"/>
                <w:szCs w:val="18"/>
              </w:rPr>
            </w:pPr>
            <w:r>
              <w:rPr>
                <w:rFonts w:hint="eastAsia" w:ascii="宋体" w:hAnsi="宋体" w:cs="Arial"/>
                <w:b/>
                <w:bCs/>
                <w:color w:val="auto"/>
                <w:sz w:val="18"/>
                <w:szCs w:val="18"/>
                <w:lang w:val="en-GB"/>
              </w:rPr>
              <w:t>本期发生额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01" w:type="dxa"/>
            <w:vMerge w:val="continue"/>
            <w:tcBorders>
              <w:top w:val="single" w:color="auto" w:sz="4" w:space="0"/>
              <w:bottom w:val="single" w:color="auto" w:sz="12" w:space="0"/>
            </w:tcBorders>
            <w:vAlign w:val="center"/>
          </w:tcPr>
          <w:p>
            <w:pPr>
              <w:keepNext/>
              <w:widowControl/>
              <w:numPr>
                <w:ilvl w:val="0"/>
                <w:numId w:val="1"/>
              </w:numPr>
              <w:overflowPunct w:val="0"/>
              <w:autoSpaceDE w:val="0"/>
              <w:autoSpaceDN w:val="0"/>
              <w:adjustRightInd w:val="0"/>
              <w:spacing w:before="640" w:after="120"/>
              <w:jc w:val="center"/>
              <w:textAlignment w:val="baseline"/>
              <w:outlineLvl w:val="0"/>
              <w:rPr>
                <w:rFonts w:ascii="Arial" w:hAnsi="Arial" w:cs="Arial"/>
                <w:b/>
                <w:bCs/>
                <w:color w:val="auto"/>
                <w:sz w:val="18"/>
                <w:szCs w:val="18"/>
              </w:rPr>
            </w:pPr>
          </w:p>
        </w:tc>
        <w:tc>
          <w:tcPr>
            <w:tcW w:w="1559" w:type="dxa"/>
            <w:tcBorders>
              <w:top w:val="single" w:color="auto" w:sz="4" w:space="0"/>
              <w:bottom w:val="single" w:color="auto" w:sz="12" w:space="0"/>
            </w:tcBorders>
            <w:vAlign w:val="center"/>
          </w:tcPr>
          <w:p>
            <w:pPr>
              <w:spacing w:line="276" w:lineRule="auto"/>
              <w:jc w:val="center"/>
              <w:rPr>
                <w:rFonts w:ascii="Arial" w:hAnsi="Arial" w:cs="Arial"/>
                <w:b/>
                <w:color w:val="auto"/>
                <w:sz w:val="18"/>
                <w:szCs w:val="18"/>
              </w:rPr>
            </w:pPr>
            <w:r>
              <w:rPr>
                <w:rFonts w:hint="eastAsia" w:ascii="Arial" w:hAnsi="Arial" w:cs="Arial"/>
                <w:b/>
                <w:color w:val="auto"/>
                <w:sz w:val="18"/>
                <w:szCs w:val="18"/>
                <w:lang w:val="en-GB"/>
              </w:rPr>
              <w:t>营业收入</w:t>
            </w:r>
          </w:p>
        </w:tc>
        <w:tc>
          <w:tcPr>
            <w:tcW w:w="1558" w:type="dxa"/>
            <w:tcBorders>
              <w:top w:val="single" w:color="auto" w:sz="4" w:space="0"/>
              <w:bottom w:val="single" w:color="auto" w:sz="12" w:space="0"/>
            </w:tcBorders>
            <w:vAlign w:val="center"/>
          </w:tcPr>
          <w:p>
            <w:pPr>
              <w:spacing w:line="276" w:lineRule="auto"/>
              <w:jc w:val="center"/>
              <w:rPr>
                <w:rFonts w:ascii="Arial" w:hAnsi="Arial" w:cs="Arial"/>
                <w:b/>
                <w:color w:val="auto"/>
                <w:sz w:val="18"/>
                <w:szCs w:val="18"/>
              </w:rPr>
            </w:pPr>
            <w:r>
              <w:rPr>
                <w:rFonts w:hint="eastAsia" w:ascii="Arial" w:hAnsi="Arial" w:cs="Arial"/>
                <w:b/>
                <w:color w:val="auto"/>
                <w:sz w:val="18"/>
                <w:szCs w:val="18"/>
                <w:lang w:val="en-GB"/>
              </w:rPr>
              <w:t>净利润</w:t>
            </w:r>
          </w:p>
        </w:tc>
        <w:tc>
          <w:tcPr>
            <w:tcW w:w="1595" w:type="dxa"/>
            <w:tcBorders>
              <w:top w:val="single" w:color="auto" w:sz="4" w:space="0"/>
              <w:bottom w:val="single" w:color="auto" w:sz="12" w:space="0"/>
            </w:tcBorders>
            <w:vAlign w:val="center"/>
          </w:tcPr>
          <w:p>
            <w:pPr>
              <w:spacing w:line="276" w:lineRule="auto"/>
              <w:jc w:val="center"/>
              <w:rPr>
                <w:rFonts w:ascii="Arial" w:hAnsi="Arial" w:cs="Arial"/>
                <w:b/>
                <w:color w:val="auto"/>
                <w:sz w:val="18"/>
                <w:szCs w:val="18"/>
              </w:rPr>
            </w:pPr>
            <w:r>
              <w:rPr>
                <w:rFonts w:hint="eastAsia" w:ascii="Arial" w:hAnsi="Arial" w:cs="Arial"/>
                <w:b/>
                <w:color w:val="auto"/>
                <w:sz w:val="18"/>
                <w:szCs w:val="18"/>
                <w:lang w:val="en-GB"/>
              </w:rPr>
              <w:t>综合收益总额</w:t>
            </w:r>
          </w:p>
        </w:tc>
        <w:tc>
          <w:tcPr>
            <w:tcW w:w="1701" w:type="dxa"/>
            <w:tcBorders>
              <w:top w:val="single" w:color="auto" w:sz="4" w:space="0"/>
              <w:bottom w:val="single" w:color="auto" w:sz="12" w:space="0"/>
            </w:tcBorders>
            <w:vAlign w:val="center"/>
          </w:tcPr>
          <w:p>
            <w:pPr>
              <w:spacing w:line="276" w:lineRule="auto"/>
              <w:jc w:val="center"/>
              <w:rPr>
                <w:rFonts w:ascii="Arial" w:hAnsi="Arial" w:cs="Arial"/>
                <w:b/>
                <w:color w:val="auto"/>
                <w:sz w:val="18"/>
                <w:szCs w:val="18"/>
              </w:rPr>
            </w:pPr>
            <w:r>
              <w:rPr>
                <w:rFonts w:hint="eastAsia" w:ascii="Arial" w:hAnsi="Arial" w:cs="Arial"/>
                <w:b/>
                <w:color w:val="auto"/>
                <w:sz w:val="18"/>
                <w:szCs w:val="18"/>
                <w:lang w:val="en-GB"/>
              </w:rPr>
              <w:t>经营活动现金流量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01" w:type="dxa"/>
            <w:tcBorders>
              <w:top w:val="single" w:color="auto" w:sz="12" w:space="0"/>
            </w:tcBorders>
            <w:vAlign w:val="bottom"/>
          </w:tcPr>
          <w:p>
            <w:pPr>
              <w:rPr>
                <w:rFonts w:ascii="宋体" w:hAnsi="宋体" w:cs="宋体"/>
                <w:color w:val="auto"/>
                <w:sz w:val="18"/>
                <w:szCs w:val="18"/>
              </w:rPr>
            </w:pPr>
            <w:r>
              <w:rPr>
                <w:rFonts w:hint="eastAsia" w:asciiTheme="minorEastAsia" w:hAnsiTheme="minorEastAsia" w:eastAsiaTheme="minorEastAsia"/>
                <w:color w:val="auto"/>
                <w:sz w:val="18"/>
                <w:szCs w:val="18"/>
              </w:rPr>
              <w:t>海南伟隆投资有限公司</w:t>
            </w:r>
          </w:p>
        </w:tc>
        <w:tc>
          <w:tcPr>
            <w:tcW w:w="1559" w:type="dxa"/>
            <w:tcBorders>
              <w:top w:val="single" w:color="auto" w:sz="12" w:space="0"/>
            </w:tcBorders>
            <w:vAlign w:val="bottom"/>
          </w:tcPr>
          <w:p>
            <w:pPr>
              <w:jc w:val="right"/>
              <w:rPr>
                <w:rFonts w:ascii="宋体" w:hAnsi="宋体" w:cs="宋体"/>
                <w:color w:val="auto"/>
                <w:sz w:val="18"/>
                <w:szCs w:val="18"/>
              </w:rPr>
            </w:pPr>
          </w:p>
        </w:tc>
        <w:tc>
          <w:tcPr>
            <w:tcW w:w="1558" w:type="dxa"/>
            <w:tcBorders>
              <w:top w:val="single" w:color="auto" w:sz="12" w:space="0"/>
            </w:tcBorders>
            <w:vAlign w:val="bottom"/>
          </w:tcPr>
          <w:p>
            <w:pPr>
              <w:jc w:val="right"/>
              <w:rPr>
                <w:rFonts w:ascii="宋体" w:hAnsi="宋体" w:cs="宋体"/>
                <w:color w:val="auto"/>
                <w:sz w:val="18"/>
                <w:szCs w:val="18"/>
              </w:rPr>
            </w:pPr>
            <w:r>
              <w:rPr>
                <w:rFonts w:ascii="宋体" w:hAnsi="宋体"/>
                <w:color w:val="auto"/>
                <w:sz w:val="18"/>
                <w:szCs w:val="18"/>
              </w:rPr>
              <w:t xml:space="preserve">    -6,431,643.09 </w:t>
            </w:r>
          </w:p>
        </w:tc>
        <w:tc>
          <w:tcPr>
            <w:tcW w:w="1595" w:type="dxa"/>
            <w:tcBorders>
              <w:top w:val="single" w:color="auto" w:sz="12" w:space="0"/>
            </w:tcBorders>
            <w:vAlign w:val="bottom"/>
          </w:tcPr>
          <w:p>
            <w:pPr>
              <w:jc w:val="right"/>
              <w:rPr>
                <w:rFonts w:ascii="宋体" w:hAnsi="宋体" w:cs="宋体"/>
                <w:color w:val="auto"/>
                <w:sz w:val="18"/>
                <w:szCs w:val="18"/>
              </w:rPr>
            </w:pPr>
            <w:r>
              <w:rPr>
                <w:rFonts w:ascii="宋体" w:hAnsi="宋体"/>
                <w:color w:val="auto"/>
                <w:sz w:val="18"/>
                <w:szCs w:val="18"/>
              </w:rPr>
              <w:t xml:space="preserve">    -6,431,643.09 </w:t>
            </w:r>
          </w:p>
        </w:tc>
        <w:tc>
          <w:tcPr>
            <w:tcW w:w="1701" w:type="dxa"/>
            <w:tcBorders>
              <w:top w:val="single" w:color="auto" w:sz="12" w:space="0"/>
            </w:tcBorders>
            <w:vAlign w:val="bottom"/>
          </w:tcPr>
          <w:p>
            <w:pPr>
              <w:ind w:left="746" w:firstLine="376"/>
              <w:jc w:val="right"/>
              <w:rPr>
                <w:rFonts w:ascii="宋体" w:hAnsi="宋体" w:cs="宋体"/>
                <w:color w:val="auto"/>
                <w:sz w:val="18"/>
                <w:szCs w:val="18"/>
              </w:rPr>
            </w:pPr>
            <w:r>
              <w:rPr>
                <w:rFonts w:ascii="宋体" w:hAnsi="宋体"/>
                <w:color w:val="auto"/>
                <w:sz w:val="18"/>
                <w:szCs w:val="18"/>
              </w:rPr>
              <w:t xml:space="preserve">           584.11 </w:t>
            </w:r>
          </w:p>
        </w:tc>
      </w:tr>
    </w:tbl>
    <w:p>
      <w:pPr>
        <w:spacing w:line="360" w:lineRule="auto"/>
        <w:ind w:firstLine="420" w:firstLineChars="200"/>
        <w:rPr>
          <w:rFonts w:ascii="宋体" w:hAnsi="宋体"/>
          <w:bCs/>
          <w:color w:val="auto"/>
          <w:kern w:val="0"/>
        </w:rPr>
      </w:pPr>
      <w:r>
        <w:rPr>
          <w:rFonts w:hint="eastAsia" w:ascii="宋体" w:hAnsi="宋体"/>
          <w:bCs/>
          <w:color w:val="auto"/>
          <w:kern w:val="0"/>
        </w:rPr>
        <w:t>（续）</w:t>
      </w:r>
    </w:p>
    <w:tbl>
      <w:tblPr>
        <w:tblStyle w:val="9"/>
        <w:tblW w:w="900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559"/>
        <w:gridCol w:w="1558"/>
        <w:gridCol w:w="1417"/>
        <w:gridCol w:w="16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02" w:type="dxa"/>
            <w:vMerge w:val="restart"/>
            <w:tcBorders>
              <w:top w:val="single" w:color="auto" w:sz="12" w:space="0"/>
              <w:bottom w:val="single" w:color="auto" w:sz="4" w:space="0"/>
            </w:tcBorders>
            <w:vAlign w:val="center"/>
          </w:tcPr>
          <w:p>
            <w:pPr>
              <w:spacing w:line="276" w:lineRule="auto"/>
              <w:ind w:right="-16"/>
              <w:jc w:val="center"/>
              <w:rPr>
                <w:rFonts w:ascii="Arial" w:hAnsi="Arial" w:cs="Arial"/>
                <w:b/>
                <w:bCs/>
                <w:color w:val="auto"/>
                <w:sz w:val="18"/>
                <w:szCs w:val="18"/>
              </w:rPr>
            </w:pPr>
            <w:r>
              <w:rPr>
                <w:rFonts w:hint="eastAsia" w:ascii="Arial" w:hAnsi="Arial" w:cs="Arial"/>
                <w:b/>
                <w:bCs/>
                <w:color w:val="auto"/>
                <w:sz w:val="18"/>
                <w:szCs w:val="18"/>
                <w:lang w:val="en-GB"/>
              </w:rPr>
              <w:t>子公司名称</w:t>
            </w:r>
          </w:p>
        </w:tc>
        <w:tc>
          <w:tcPr>
            <w:tcW w:w="6201" w:type="dxa"/>
            <w:gridSpan w:val="4"/>
            <w:tcBorders>
              <w:top w:val="single" w:color="auto" w:sz="12" w:space="0"/>
              <w:bottom w:val="single" w:color="auto" w:sz="4" w:space="0"/>
            </w:tcBorders>
            <w:vAlign w:val="center"/>
          </w:tcPr>
          <w:p>
            <w:pPr>
              <w:spacing w:line="276" w:lineRule="auto"/>
              <w:ind w:right="-16"/>
              <w:jc w:val="center"/>
              <w:rPr>
                <w:rFonts w:ascii="宋体" w:hAnsi="宋体" w:cs="Arial"/>
                <w:b/>
                <w:bCs/>
                <w:color w:val="auto"/>
                <w:sz w:val="18"/>
                <w:szCs w:val="18"/>
              </w:rPr>
            </w:pPr>
            <w:r>
              <w:rPr>
                <w:rFonts w:hint="eastAsia" w:ascii="宋体" w:hAnsi="宋体" w:cs="Arial"/>
                <w:b/>
                <w:bCs/>
                <w:color w:val="auto"/>
                <w:sz w:val="18"/>
                <w:szCs w:val="18"/>
                <w:lang w:val="en-GB"/>
              </w:rPr>
              <w:t>上期发生额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02" w:type="dxa"/>
            <w:vMerge w:val="continue"/>
            <w:tcBorders>
              <w:top w:val="single" w:color="auto" w:sz="4" w:space="0"/>
              <w:bottom w:val="single" w:color="auto" w:sz="12" w:space="0"/>
            </w:tcBorders>
            <w:vAlign w:val="center"/>
          </w:tcPr>
          <w:p>
            <w:pPr>
              <w:keepNext/>
              <w:widowControl/>
              <w:numPr>
                <w:ilvl w:val="0"/>
                <w:numId w:val="1"/>
              </w:numPr>
              <w:overflowPunct w:val="0"/>
              <w:autoSpaceDE w:val="0"/>
              <w:autoSpaceDN w:val="0"/>
              <w:adjustRightInd w:val="0"/>
              <w:spacing w:before="640" w:after="120"/>
              <w:jc w:val="center"/>
              <w:textAlignment w:val="baseline"/>
              <w:outlineLvl w:val="0"/>
              <w:rPr>
                <w:rFonts w:ascii="Arial" w:hAnsi="Arial" w:cs="Arial"/>
                <w:b/>
                <w:bCs/>
                <w:color w:val="auto"/>
                <w:sz w:val="18"/>
                <w:szCs w:val="18"/>
              </w:rPr>
            </w:pPr>
          </w:p>
        </w:tc>
        <w:tc>
          <w:tcPr>
            <w:tcW w:w="1559" w:type="dxa"/>
            <w:tcBorders>
              <w:top w:val="single" w:color="auto" w:sz="4" w:space="0"/>
              <w:bottom w:val="single" w:color="auto" w:sz="12" w:space="0"/>
            </w:tcBorders>
            <w:vAlign w:val="center"/>
          </w:tcPr>
          <w:p>
            <w:pPr>
              <w:spacing w:line="276" w:lineRule="auto"/>
              <w:jc w:val="center"/>
              <w:rPr>
                <w:rFonts w:ascii="Arial" w:hAnsi="Arial" w:cs="Arial"/>
                <w:b/>
                <w:color w:val="auto"/>
                <w:sz w:val="18"/>
                <w:szCs w:val="18"/>
              </w:rPr>
            </w:pPr>
            <w:r>
              <w:rPr>
                <w:rFonts w:hint="eastAsia" w:ascii="Arial" w:hAnsi="Arial" w:cs="Arial"/>
                <w:b/>
                <w:color w:val="auto"/>
                <w:sz w:val="18"/>
                <w:szCs w:val="18"/>
                <w:lang w:val="en-GB"/>
              </w:rPr>
              <w:t>营业收入</w:t>
            </w:r>
          </w:p>
        </w:tc>
        <w:tc>
          <w:tcPr>
            <w:tcW w:w="1558" w:type="dxa"/>
            <w:tcBorders>
              <w:top w:val="single" w:color="auto" w:sz="4" w:space="0"/>
              <w:bottom w:val="single" w:color="auto" w:sz="12" w:space="0"/>
            </w:tcBorders>
            <w:vAlign w:val="center"/>
          </w:tcPr>
          <w:p>
            <w:pPr>
              <w:spacing w:line="276" w:lineRule="auto"/>
              <w:jc w:val="center"/>
              <w:rPr>
                <w:rFonts w:ascii="Arial" w:hAnsi="Arial" w:cs="Arial"/>
                <w:b/>
                <w:color w:val="auto"/>
                <w:sz w:val="18"/>
                <w:szCs w:val="18"/>
              </w:rPr>
            </w:pPr>
            <w:r>
              <w:rPr>
                <w:rFonts w:hint="eastAsia" w:ascii="Arial" w:hAnsi="Arial" w:cs="Arial"/>
                <w:b/>
                <w:color w:val="auto"/>
                <w:sz w:val="18"/>
                <w:szCs w:val="18"/>
                <w:lang w:val="en-GB"/>
              </w:rPr>
              <w:t>净利润</w:t>
            </w:r>
          </w:p>
        </w:tc>
        <w:tc>
          <w:tcPr>
            <w:tcW w:w="1417" w:type="dxa"/>
            <w:tcBorders>
              <w:top w:val="single" w:color="auto" w:sz="4" w:space="0"/>
              <w:bottom w:val="single" w:color="auto" w:sz="12" w:space="0"/>
            </w:tcBorders>
            <w:vAlign w:val="center"/>
          </w:tcPr>
          <w:p>
            <w:pPr>
              <w:spacing w:line="276" w:lineRule="auto"/>
              <w:jc w:val="center"/>
              <w:rPr>
                <w:rFonts w:ascii="Arial" w:hAnsi="Arial" w:cs="Arial"/>
                <w:b/>
                <w:color w:val="auto"/>
                <w:sz w:val="18"/>
                <w:szCs w:val="18"/>
              </w:rPr>
            </w:pPr>
            <w:r>
              <w:rPr>
                <w:rFonts w:hint="eastAsia" w:ascii="Arial" w:hAnsi="Arial" w:cs="Arial"/>
                <w:b/>
                <w:color w:val="auto"/>
                <w:sz w:val="18"/>
                <w:szCs w:val="18"/>
                <w:lang w:val="en-GB"/>
              </w:rPr>
              <w:t>综合收益总额</w:t>
            </w:r>
          </w:p>
        </w:tc>
        <w:tc>
          <w:tcPr>
            <w:tcW w:w="1667" w:type="dxa"/>
            <w:tcBorders>
              <w:top w:val="single" w:color="auto" w:sz="4" w:space="0"/>
              <w:bottom w:val="single" w:color="auto" w:sz="12" w:space="0"/>
            </w:tcBorders>
            <w:vAlign w:val="center"/>
          </w:tcPr>
          <w:p>
            <w:pPr>
              <w:spacing w:line="276" w:lineRule="auto"/>
              <w:jc w:val="center"/>
              <w:rPr>
                <w:rFonts w:ascii="Arial" w:hAnsi="Arial" w:cs="Arial"/>
                <w:b/>
                <w:color w:val="auto"/>
                <w:sz w:val="18"/>
                <w:szCs w:val="18"/>
              </w:rPr>
            </w:pPr>
            <w:r>
              <w:rPr>
                <w:rFonts w:hint="eastAsia" w:ascii="Arial" w:hAnsi="Arial" w:cs="Arial"/>
                <w:b/>
                <w:color w:val="auto"/>
                <w:sz w:val="18"/>
                <w:szCs w:val="18"/>
                <w:lang w:val="en-GB"/>
              </w:rPr>
              <w:t>经营活动现金流量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02" w:type="dxa"/>
            <w:tcBorders>
              <w:top w:val="single" w:color="auto" w:sz="12" w:space="0"/>
            </w:tcBorders>
            <w:vAlign w:val="bottom"/>
          </w:tcPr>
          <w:p>
            <w:pPr>
              <w:widowControl/>
              <w:rPr>
                <w:rFonts w:ascii="宋体" w:hAnsi="宋体" w:cs="宋体"/>
                <w:color w:val="auto"/>
                <w:kern w:val="0"/>
                <w:sz w:val="18"/>
                <w:szCs w:val="18"/>
              </w:rPr>
            </w:pPr>
            <w:r>
              <w:rPr>
                <w:rFonts w:hint="eastAsia" w:asciiTheme="minorEastAsia" w:hAnsiTheme="minorEastAsia" w:eastAsiaTheme="minorEastAsia"/>
                <w:color w:val="auto"/>
                <w:sz w:val="18"/>
                <w:szCs w:val="18"/>
              </w:rPr>
              <w:t>海南伟隆投资有限公司</w:t>
            </w:r>
          </w:p>
        </w:tc>
        <w:tc>
          <w:tcPr>
            <w:tcW w:w="1559" w:type="dxa"/>
            <w:tcBorders>
              <w:top w:val="single" w:color="auto" w:sz="12" w:space="0"/>
            </w:tcBorders>
            <w:vAlign w:val="bottom"/>
          </w:tcPr>
          <w:p>
            <w:pPr>
              <w:jc w:val="right"/>
              <w:rPr>
                <w:rFonts w:ascii="宋体" w:hAnsi="宋体" w:cs="宋体"/>
                <w:color w:val="auto"/>
                <w:sz w:val="18"/>
                <w:szCs w:val="18"/>
              </w:rPr>
            </w:pPr>
          </w:p>
        </w:tc>
        <w:tc>
          <w:tcPr>
            <w:tcW w:w="1558" w:type="dxa"/>
            <w:tcBorders>
              <w:top w:val="single" w:color="auto" w:sz="12" w:space="0"/>
            </w:tcBorders>
            <w:vAlign w:val="bottom"/>
          </w:tcPr>
          <w:p>
            <w:pPr>
              <w:jc w:val="right"/>
              <w:rPr>
                <w:rFonts w:ascii="宋体" w:hAnsi="宋体" w:cs="宋体"/>
                <w:color w:val="auto"/>
                <w:sz w:val="18"/>
                <w:szCs w:val="18"/>
              </w:rPr>
            </w:pPr>
          </w:p>
        </w:tc>
        <w:tc>
          <w:tcPr>
            <w:tcW w:w="1417" w:type="dxa"/>
            <w:tcBorders>
              <w:top w:val="single" w:color="auto" w:sz="12" w:space="0"/>
            </w:tcBorders>
            <w:vAlign w:val="bottom"/>
          </w:tcPr>
          <w:p>
            <w:pPr>
              <w:jc w:val="right"/>
              <w:rPr>
                <w:rFonts w:ascii="宋体" w:hAnsi="宋体" w:cs="宋体"/>
                <w:color w:val="auto"/>
                <w:sz w:val="18"/>
                <w:szCs w:val="18"/>
              </w:rPr>
            </w:pPr>
          </w:p>
        </w:tc>
        <w:tc>
          <w:tcPr>
            <w:tcW w:w="1667" w:type="dxa"/>
            <w:tcBorders>
              <w:top w:val="single" w:color="auto" w:sz="12" w:space="0"/>
            </w:tcBorders>
            <w:vAlign w:val="bottom"/>
          </w:tcPr>
          <w:p>
            <w:pPr>
              <w:jc w:val="right"/>
              <w:rPr>
                <w:rFonts w:ascii="宋体" w:hAnsi="宋体" w:cs="宋体"/>
                <w:color w:val="auto"/>
                <w:sz w:val="18"/>
                <w:szCs w:val="18"/>
              </w:rPr>
            </w:pPr>
          </w:p>
        </w:tc>
      </w:tr>
    </w:tbl>
    <w:p>
      <w:pPr>
        <w:spacing w:before="150" w:beforeLines="50" w:after="150" w:afterLines="50" w:line="360" w:lineRule="auto"/>
        <w:ind w:firstLine="420" w:firstLineChars="200"/>
        <w:rPr>
          <w:b/>
          <w:color w:val="auto"/>
          <w:kern w:val="0"/>
        </w:rPr>
      </w:pPr>
      <w:r>
        <w:rPr>
          <w:rFonts w:hint="eastAsia" w:ascii="宋体" w:hAnsi="宋体"/>
          <w:b/>
          <w:color w:val="auto"/>
          <w:szCs w:val="21"/>
        </w:rPr>
        <w:t>2、在</w:t>
      </w:r>
      <w:r>
        <w:rPr>
          <w:rFonts w:hint="eastAsia"/>
          <w:b/>
          <w:color w:val="auto"/>
          <w:kern w:val="0"/>
        </w:rPr>
        <w:t>合营企业或联营企业中的权益</w:t>
      </w:r>
    </w:p>
    <w:p>
      <w:pPr>
        <w:spacing w:before="150" w:beforeLines="50" w:line="360" w:lineRule="auto"/>
        <w:ind w:firstLine="420" w:firstLineChars="200"/>
        <w:rPr>
          <w:rFonts w:ascii="宋体" w:hAnsi="宋体"/>
          <w:b/>
          <w:color w:val="auto"/>
          <w:szCs w:val="21"/>
        </w:rPr>
      </w:pPr>
      <w:r>
        <w:rPr>
          <w:rFonts w:hint="eastAsia"/>
          <w:color w:val="auto"/>
          <w:kern w:val="0"/>
        </w:rPr>
        <w:t>无</w:t>
      </w:r>
    </w:p>
    <w:p>
      <w:pPr>
        <w:spacing w:before="150" w:beforeLines="50" w:after="150" w:afterLines="50" w:line="360" w:lineRule="auto"/>
        <w:ind w:firstLine="480" w:firstLineChars="200"/>
        <w:outlineLvl w:val="0"/>
        <w:rPr>
          <w:rFonts w:cs="Arial" w:asciiTheme="minorEastAsia" w:hAnsiTheme="minorEastAsia" w:eastAsiaTheme="minorEastAsia"/>
          <w:b/>
          <w:bCs/>
          <w:color w:val="auto"/>
          <w:sz w:val="24"/>
          <w:szCs w:val="24"/>
        </w:rPr>
      </w:pPr>
      <w:r>
        <w:rPr>
          <w:rFonts w:hint="eastAsia" w:cs="Arial" w:asciiTheme="minorEastAsia" w:hAnsiTheme="minorEastAsia" w:eastAsiaTheme="minorEastAsia"/>
          <w:b/>
          <w:bCs/>
          <w:color w:val="auto"/>
          <w:sz w:val="24"/>
          <w:szCs w:val="24"/>
        </w:rPr>
        <w:t>八、与金融工具有关的风险</w:t>
      </w:r>
    </w:p>
    <w:p>
      <w:pPr>
        <w:spacing w:before="150" w:beforeLines="50" w:line="360" w:lineRule="auto"/>
        <w:ind w:firstLine="411" w:firstLineChars="196"/>
        <w:rPr>
          <w:color w:val="auto"/>
        </w:rPr>
      </w:pPr>
      <w:r>
        <w:rPr>
          <w:rFonts w:hint="eastAsia" w:ascii="宋体" w:hAnsi="宋体"/>
          <w:color w:val="auto"/>
        </w:rPr>
        <w:t>公司在经营过程中面临各种金融风险：信用风险、市场风险和流动性风险。公司经营管理层全面负责风险管理目标和政策的确定，并对风险管理目标和政策承担最终责任。</w:t>
      </w:r>
      <w:r>
        <w:rPr>
          <w:rFonts w:hint="eastAsia"/>
          <w:color w:val="auto"/>
        </w:rPr>
        <w:t>风险管理的总体目标是在不过度影响公司竞争力和应变力的情况下，制定尽可能降低风险的风险管理政策。</w:t>
      </w:r>
    </w:p>
    <w:p>
      <w:pPr>
        <w:spacing w:before="150" w:beforeLines="50" w:after="150" w:afterLines="50" w:line="360" w:lineRule="auto"/>
        <w:ind w:firstLine="420" w:firstLineChars="200"/>
        <w:rPr>
          <w:rFonts w:ascii="宋体" w:hAnsi="宋体"/>
          <w:b/>
          <w:bCs/>
          <w:color w:val="auto"/>
        </w:rPr>
      </w:pPr>
      <w:r>
        <w:rPr>
          <w:rFonts w:hint="eastAsia" w:ascii="宋体" w:hAnsi="宋体"/>
          <w:b/>
          <w:bCs/>
          <w:color w:val="auto"/>
        </w:rPr>
        <w:t>1、信用风险</w:t>
      </w:r>
    </w:p>
    <w:p>
      <w:pPr>
        <w:spacing w:line="360" w:lineRule="auto"/>
        <w:ind w:firstLine="411" w:firstLineChars="196"/>
        <w:rPr>
          <w:rFonts w:ascii="宋体" w:hAnsi="宋体"/>
          <w:color w:val="auto"/>
        </w:rPr>
      </w:pPr>
      <w:r>
        <w:rPr>
          <w:rFonts w:hint="eastAsia" w:ascii="宋体" w:hAnsi="宋体"/>
          <w:color w:val="auto"/>
        </w:rPr>
        <w:t>信用风险是指金融工具的一方不履行义务，造成另一方发生财务损失的风险。</w:t>
      </w:r>
    </w:p>
    <w:p>
      <w:pPr>
        <w:spacing w:line="360" w:lineRule="auto"/>
        <w:ind w:firstLine="411" w:firstLineChars="196"/>
        <w:rPr>
          <w:rFonts w:ascii="宋体" w:hAnsi="宋体"/>
          <w:color w:val="auto"/>
        </w:rPr>
      </w:pPr>
      <w:r>
        <w:rPr>
          <w:rFonts w:hint="eastAsia" w:ascii="宋体" w:hAnsi="宋体"/>
          <w:color w:val="auto"/>
        </w:rPr>
        <w:t>为降低信用风险，本公司制定了相关的内部控制政策负责确定信用额度、进行信用审批，包括外部信用评级和在某些情况下的银行资信证明（当此信息可获取时），并执行其他监控程序以确保采取必要的措施回收过期债权。因此，本公司管理层认为本公司所承担的信用风险已经大为降低。</w:t>
      </w:r>
    </w:p>
    <w:p>
      <w:pPr>
        <w:spacing w:line="360" w:lineRule="auto"/>
        <w:ind w:firstLine="411" w:firstLineChars="196"/>
        <w:rPr>
          <w:rFonts w:ascii="宋体" w:hAnsi="宋体"/>
          <w:color w:val="auto"/>
        </w:rPr>
      </w:pPr>
      <w:r>
        <w:rPr>
          <w:rFonts w:hint="eastAsia"/>
          <w:color w:val="auto"/>
          <w:szCs w:val="21"/>
        </w:rPr>
        <w:t>本公司信用风险主要产生于银行存款、应收账款、其他应收款、应收票据、应收款项融资等，这些金融资产的信用风险源自交易对手违约，最大风险敞口等于这些工具的账面金额。</w:t>
      </w:r>
    </w:p>
    <w:p>
      <w:pPr>
        <w:autoSpaceDE w:val="0"/>
        <w:autoSpaceDN w:val="0"/>
        <w:adjustRightInd w:val="0"/>
        <w:spacing w:line="360" w:lineRule="auto"/>
        <w:ind w:firstLine="420" w:firstLineChars="200"/>
        <w:jc w:val="left"/>
        <w:rPr>
          <w:rFonts w:ascii="宋体" w:hAnsi="宋体"/>
          <w:color w:val="auto"/>
        </w:rPr>
      </w:pPr>
      <w:r>
        <w:rPr>
          <w:rFonts w:hint="eastAsia" w:ascii="宋体" w:hAnsi="宋体"/>
          <w:color w:val="auto"/>
        </w:rPr>
        <w:t>（1）本公司的流动资金存放在信用评级较高的银行，故流动资金的信用风险较低。</w:t>
      </w:r>
    </w:p>
    <w:p>
      <w:pPr>
        <w:spacing w:line="360" w:lineRule="auto"/>
        <w:ind w:firstLine="420" w:firstLineChars="200"/>
        <w:rPr>
          <w:rFonts w:ascii="宋体" w:hAnsi="宋体"/>
          <w:color w:val="auto"/>
        </w:rPr>
      </w:pPr>
      <w:r>
        <w:rPr>
          <w:rFonts w:hint="eastAsia" w:ascii="宋体" w:hAnsi="宋体"/>
          <w:color w:val="auto"/>
        </w:rPr>
        <w:t>（2）资产负债表日，公司按会计政策计提了坏账准备。</w:t>
      </w:r>
    </w:p>
    <w:p>
      <w:pPr>
        <w:spacing w:before="150" w:beforeLines="50" w:after="150" w:afterLines="50" w:line="360" w:lineRule="auto"/>
        <w:ind w:firstLine="420" w:firstLineChars="200"/>
        <w:rPr>
          <w:rFonts w:ascii="宋体" w:hAnsi="宋体"/>
          <w:b/>
          <w:bCs/>
          <w:color w:val="auto"/>
        </w:rPr>
      </w:pPr>
      <w:r>
        <w:rPr>
          <w:rFonts w:hint="eastAsia" w:ascii="宋体" w:hAnsi="宋体"/>
          <w:b/>
          <w:bCs/>
          <w:color w:val="auto"/>
        </w:rPr>
        <w:t>2、市场风险</w:t>
      </w:r>
    </w:p>
    <w:p>
      <w:pPr>
        <w:spacing w:line="360" w:lineRule="auto"/>
        <w:ind w:firstLine="420" w:firstLineChars="200"/>
        <w:rPr>
          <w:rFonts w:ascii="宋体" w:hAnsi="宋体"/>
          <w:bCs/>
          <w:color w:val="auto"/>
        </w:rPr>
      </w:pPr>
      <w:r>
        <w:rPr>
          <w:rFonts w:hint="eastAsia" w:ascii="宋体" w:hAnsi="宋体"/>
          <w:bCs/>
          <w:color w:val="auto"/>
        </w:rPr>
        <w:t>金融工具的市场风险，是指金融工具的公允价值或未来现金流量因市场价格变动而发生波动的风险，包括外汇风险、利率风险和其他价格风险。</w:t>
      </w:r>
    </w:p>
    <w:p>
      <w:pPr>
        <w:spacing w:line="360" w:lineRule="auto"/>
        <w:ind w:firstLine="420" w:firstLineChars="200"/>
        <w:rPr>
          <w:rFonts w:ascii="宋体" w:hAnsi="宋体"/>
          <w:color w:val="auto"/>
        </w:rPr>
      </w:pPr>
      <w:r>
        <w:rPr>
          <w:rFonts w:hint="eastAsia" w:ascii="宋体" w:hAnsi="宋体"/>
          <w:color w:val="auto"/>
        </w:rPr>
        <w:t>（1）外汇风险</w:t>
      </w:r>
    </w:p>
    <w:p>
      <w:pPr>
        <w:spacing w:line="360" w:lineRule="auto"/>
        <w:ind w:firstLine="384" w:firstLineChars="183"/>
        <w:rPr>
          <w:rFonts w:ascii="宋体" w:hAnsi="宋体"/>
          <w:color w:val="auto"/>
          <w:szCs w:val="21"/>
        </w:rPr>
      </w:pPr>
      <w:r>
        <w:rPr>
          <w:rFonts w:hint="eastAsia" w:ascii="宋体" w:hAnsi="宋体"/>
          <w:color w:val="auto"/>
          <w:szCs w:val="21"/>
        </w:rPr>
        <w:t>外汇风险，是指金融工具的公允价值或未来现金流量因外汇汇率变动而发生波动的风险。本公司面临的外汇风险主要来源于以外币计价的金融资产和金融负债，外币金融资产和外币金融负债列示如下：</w:t>
      </w:r>
    </w:p>
    <w:tbl>
      <w:tblPr>
        <w:tblStyle w:val="9"/>
        <w:tblW w:w="8931" w:type="dxa"/>
        <w:tblCaption w:val="&quot;\\lisheng\共享\1、伟隆2022年度审计\1、2022年度审计\1、附注及报告\2022年\附注计算-伟隆 - 2022.xlsx&quot; &quot;2022附注格式!_ReportTable_0101&quot;"/>
        <w:tblDescription w:val="A866:D878"/>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2260"/>
        <w:gridCol w:w="1968"/>
        <w:gridCol w:w="25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151" w:type="dxa"/>
            <w:tcBorders>
              <w:top w:val="single" w:color="auto" w:sz="12" w:space="0"/>
              <w:bottom w:val="single" w:color="auto" w:sz="12" w:space="0"/>
            </w:tcBorders>
            <w:shd w:val="clear" w:color="auto" w:fill="auto"/>
            <w:vAlign w:val="center"/>
          </w:tcPr>
          <w:p>
            <w:pPr>
              <w:jc w:val="center"/>
              <w:rPr>
                <w:rFonts w:asciiTheme="minorEastAsia" w:hAnsiTheme="minorEastAsia" w:eastAsiaTheme="minorEastAsia"/>
                <w:b/>
                <w:color w:val="auto"/>
                <w:kern w:val="0"/>
                <w:sz w:val="18"/>
                <w:szCs w:val="18"/>
              </w:rPr>
            </w:pPr>
            <w:r>
              <w:rPr>
                <w:rFonts w:hint="eastAsia" w:asciiTheme="minorEastAsia" w:hAnsiTheme="minorEastAsia" w:eastAsiaTheme="minorEastAsia"/>
                <w:b/>
                <w:color w:val="auto"/>
                <w:kern w:val="0"/>
                <w:sz w:val="18"/>
                <w:szCs w:val="18"/>
              </w:rPr>
              <w:t>项</w:t>
            </w:r>
            <w:r>
              <w:rPr>
                <w:rFonts w:asciiTheme="minorEastAsia" w:hAnsiTheme="minorEastAsia" w:eastAsiaTheme="minorEastAsia"/>
                <w:b/>
                <w:color w:val="auto"/>
                <w:kern w:val="0"/>
                <w:sz w:val="18"/>
                <w:szCs w:val="18"/>
              </w:rPr>
              <w:t xml:space="preserve">  目</w:t>
            </w:r>
          </w:p>
        </w:tc>
        <w:tc>
          <w:tcPr>
            <w:tcW w:w="2260" w:type="dxa"/>
            <w:tcBorders>
              <w:top w:val="single" w:color="auto" w:sz="12" w:space="0"/>
              <w:bottom w:val="single" w:color="auto" w:sz="12" w:space="0"/>
            </w:tcBorders>
            <w:shd w:val="clear" w:color="auto" w:fill="auto"/>
            <w:vAlign w:val="center"/>
          </w:tcPr>
          <w:p>
            <w:pPr>
              <w:jc w:val="center"/>
              <w:rPr>
                <w:rFonts w:asciiTheme="minorEastAsia" w:hAnsiTheme="minorEastAsia" w:eastAsiaTheme="minorEastAsia"/>
                <w:b/>
                <w:color w:val="auto"/>
                <w:kern w:val="0"/>
                <w:sz w:val="18"/>
                <w:szCs w:val="18"/>
              </w:rPr>
            </w:pPr>
            <w:r>
              <w:rPr>
                <w:rFonts w:hint="eastAsia" w:asciiTheme="minorEastAsia" w:hAnsiTheme="minorEastAsia" w:eastAsiaTheme="minorEastAsia"/>
                <w:b/>
                <w:color w:val="auto"/>
                <w:kern w:val="0"/>
                <w:sz w:val="18"/>
                <w:szCs w:val="18"/>
              </w:rPr>
              <w:t>期末外币余额</w:t>
            </w:r>
          </w:p>
        </w:tc>
        <w:tc>
          <w:tcPr>
            <w:tcW w:w="1968" w:type="dxa"/>
            <w:tcBorders>
              <w:top w:val="single" w:color="auto" w:sz="12" w:space="0"/>
              <w:bottom w:val="single" w:color="auto" w:sz="12" w:space="0"/>
            </w:tcBorders>
            <w:shd w:val="clear" w:color="auto" w:fill="auto"/>
            <w:vAlign w:val="center"/>
          </w:tcPr>
          <w:p>
            <w:pPr>
              <w:jc w:val="center"/>
              <w:rPr>
                <w:rFonts w:asciiTheme="minorEastAsia" w:hAnsiTheme="minorEastAsia" w:eastAsiaTheme="minorEastAsia"/>
                <w:b/>
                <w:color w:val="auto"/>
                <w:kern w:val="0"/>
                <w:sz w:val="18"/>
                <w:szCs w:val="18"/>
              </w:rPr>
            </w:pPr>
            <w:r>
              <w:rPr>
                <w:rFonts w:hint="eastAsia" w:asciiTheme="minorEastAsia" w:hAnsiTheme="minorEastAsia" w:eastAsiaTheme="minorEastAsia"/>
                <w:b/>
                <w:color w:val="auto"/>
                <w:kern w:val="0"/>
                <w:sz w:val="18"/>
                <w:szCs w:val="18"/>
              </w:rPr>
              <w:t>折算汇率</w:t>
            </w:r>
          </w:p>
        </w:tc>
        <w:tc>
          <w:tcPr>
            <w:tcW w:w="2552" w:type="dxa"/>
            <w:tcBorders>
              <w:top w:val="single" w:color="auto" w:sz="12" w:space="0"/>
              <w:bottom w:val="single" w:color="auto" w:sz="12" w:space="0"/>
            </w:tcBorders>
            <w:shd w:val="clear" w:color="auto" w:fill="auto"/>
            <w:vAlign w:val="center"/>
          </w:tcPr>
          <w:p>
            <w:pPr>
              <w:jc w:val="center"/>
              <w:rPr>
                <w:rFonts w:asciiTheme="minorEastAsia" w:hAnsiTheme="minorEastAsia" w:eastAsiaTheme="minorEastAsia"/>
                <w:b/>
                <w:color w:val="auto"/>
                <w:kern w:val="0"/>
                <w:sz w:val="18"/>
                <w:szCs w:val="18"/>
              </w:rPr>
            </w:pPr>
            <w:r>
              <w:rPr>
                <w:rFonts w:hint="eastAsia" w:asciiTheme="minorEastAsia" w:hAnsiTheme="minorEastAsia" w:eastAsiaTheme="minorEastAsia"/>
                <w:b/>
                <w:color w:val="auto"/>
                <w:kern w:val="0"/>
                <w:sz w:val="18"/>
                <w:szCs w:val="18"/>
              </w:rPr>
              <w:t>期末折算人民币余额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1" w:type="dxa"/>
            <w:tcBorders>
              <w:top w:val="single" w:color="auto" w:sz="12" w:space="0"/>
              <w:bottom w:val="single" w:color="auto" w:sz="4" w:space="0"/>
            </w:tcBorders>
            <w:shd w:val="clear" w:color="auto" w:fill="auto"/>
            <w:vAlign w:val="bottom"/>
          </w:tcPr>
          <w:p>
            <w:pP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货币资金</w:t>
            </w:r>
          </w:p>
        </w:tc>
        <w:tc>
          <w:tcPr>
            <w:tcW w:w="2260" w:type="dxa"/>
            <w:tcBorders>
              <w:top w:val="single" w:color="auto" w:sz="12" w:space="0"/>
              <w:bottom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p>
        </w:tc>
        <w:tc>
          <w:tcPr>
            <w:tcW w:w="1968" w:type="dxa"/>
            <w:tcBorders>
              <w:top w:val="single" w:color="auto" w:sz="12" w:space="0"/>
              <w:bottom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p>
        </w:tc>
        <w:tc>
          <w:tcPr>
            <w:tcW w:w="2552" w:type="dxa"/>
            <w:tcBorders>
              <w:top w:val="single" w:color="auto" w:sz="12" w:space="0"/>
              <w:bottom w:val="single" w:color="auto" w:sz="4" w:space="0"/>
            </w:tcBorders>
            <w:shd w:val="clear" w:color="auto" w:fill="auto"/>
            <w:vAlign w:val="bottom"/>
          </w:tcPr>
          <w:p>
            <w:pPr>
              <w:jc w:val="right"/>
              <w:rPr>
                <w:rFonts w:cs="宋体" w:asciiTheme="minorEastAsia" w:hAnsiTheme="minorEastAsia" w:eastAsiaTheme="minorEastAsia"/>
                <w:b/>
                <w:bCs/>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151" w:type="dxa"/>
            <w:tcBorders>
              <w:top w:val="single" w:color="auto" w:sz="4" w:space="0"/>
              <w:bottom w:val="single" w:color="auto" w:sz="4" w:space="0"/>
            </w:tcBorders>
            <w:shd w:val="clear" w:color="auto" w:fill="auto"/>
            <w:vAlign w:val="bottom"/>
          </w:tcPr>
          <w:p>
            <w:pP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其中：美元</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13,124,046.83</w:t>
            </w: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6.9646</w:t>
            </w: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91,403,736.55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151" w:type="dxa"/>
            <w:tcBorders>
              <w:top w:val="single" w:color="auto" w:sz="4" w:space="0"/>
              <w:bottom w:val="single" w:color="auto" w:sz="4" w:space="0"/>
            </w:tcBorders>
            <w:shd w:val="clear" w:color="auto" w:fill="auto"/>
            <w:vAlign w:val="bottom"/>
          </w:tcPr>
          <w:p>
            <w:pPr>
              <w:ind w:firstLine="540" w:firstLineChars="300"/>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英镑</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386.53</w:t>
            </w: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8.3941</w:t>
            </w: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3,244.57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151" w:type="dxa"/>
            <w:tcBorders>
              <w:top w:val="single" w:color="auto" w:sz="4" w:space="0"/>
              <w:bottom w:val="single" w:color="auto" w:sz="4" w:space="0"/>
            </w:tcBorders>
            <w:shd w:val="clear" w:color="auto" w:fill="auto"/>
            <w:vAlign w:val="bottom"/>
          </w:tcPr>
          <w:p>
            <w:pPr>
              <w:ind w:firstLine="540" w:firstLineChars="300"/>
              <w:rPr>
                <w:rFonts w:asciiTheme="minorEastAsia" w:hAnsiTheme="minorEastAsia" w:eastAsiaTheme="minorEastAsia"/>
                <w:b/>
                <w:bCs/>
                <w:color w:val="auto"/>
                <w:sz w:val="18"/>
                <w:szCs w:val="18"/>
              </w:rPr>
            </w:pPr>
            <w:r>
              <w:rPr>
                <w:rFonts w:hint="eastAsia" w:asciiTheme="minorEastAsia" w:hAnsiTheme="minorEastAsia" w:eastAsiaTheme="minorEastAsia"/>
                <w:color w:val="auto"/>
                <w:sz w:val="18"/>
                <w:szCs w:val="18"/>
              </w:rPr>
              <w:t>欧元</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155,101.87</w:t>
            </w: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7.4229</w:t>
            </w: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1,151,305.67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1" w:type="dxa"/>
            <w:tcBorders>
              <w:top w:val="single" w:color="auto" w:sz="4" w:space="0"/>
              <w:bottom w:val="single" w:color="auto" w:sz="4" w:space="0"/>
            </w:tcBorders>
            <w:shd w:val="clear" w:color="auto" w:fill="auto"/>
            <w:vAlign w:val="bottom"/>
          </w:tcPr>
          <w:p>
            <w:pP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应收账款</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151" w:type="dxa"/>
            <w:tcBorders>
              <w:top w:val="single" w:color="auto" w:sz="4" w:space="0"/>
              <w:bottom w:val="single" w:color="auto" w:sz="4" w:space="0"/>
            </w:tcBorders>
            <w:shd w:val="clear" w:color="auto" w:fill="auto"/>
            <w:vAlign w:val="bottom"/>
          </w:tcPr>
          <w:p>
            <w:pP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其中：美元</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7,736,854.99</w:t>
            </w: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6.9646</w:t>
            </w: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53,884,100.26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151" w:type="dxa"/>
            <w:tcBorders>
              <w:top w:val="single" w:color="auto" w:sz="4" w:space="0"/>
              <w:bottom w:val="single" w:color="auto" w:sz="4" w:space="0"/>
            </w:tcBorders>
            <w:shd w:val="clear" w:color="auto" w:fill="auto"/>
            <w:vAlign w:val="bottom"/>
          </w:tcPr>
          <w:p>
            <w:pPr>
              <w:ind w:firstLine="540" w:firstLineChars="3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欧元</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hint="eastAsia" w:ascii="宋体" w:hAnsi="宋体" w:cs="宋体"/>
                <w:color w:val="auto"/>
                <w:kern w:val="0"/>
                <w:sz w:val="18"/>
                <w:szCs w:val="18"/>
              </w:rPr>
              <w:t>20,460.42</w:t>
            </w: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hint="eastAsia" w:ascii="宋体" w:hAnsi="宋体" w:cs="宋体"/>
                <w:color w:val="auto"/>
                <w:kern w:val="0"/>
                <w:sz w:val="18"/>
                <w:szCs w:val="18"/>
              </w:rPr>
              <w:t>7.4229</w:t>
            </w: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hint="eastAsia" w:ascii="宋体" w:hAnsi="宋体" w:cs="宋体"/>
                <w:color w:val="auto"/>
                <w:kern w:val="0"/>
                <w:sz w:val="18"/>
                <w:szCs w:val="18"/>
              </w:rPr>
              <w:t>151,875.65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151" w:type="dxa"/>
            <w:tcBorders>
              <w:top w:val="single" w:color="auto" w:sz="4" w:space="0"/>
              <w:bottom w:val="single" w:color="auto" w:sz="4" w:space="0"/>
            </w:tcBorders>
            <w:shd w:val="clear" w:color="auto" w:fill="auto"/>
            <w:vAlign w:val="bottom"/>
          </w:tcPr>
          <w:p>
            <w:pP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应付账款</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151" w:type="dxa"/>
            <w:tcBorders>
              <w:top w:val="single" w:color="auto" w:sz="4" w:space="0"/>
              <w:bottom w:val="single" w:color="auto" w:sz="4" w:space="0"/>
            </w:tcBorders>
            <w:shd w:val="clear" w:color="auto" w:fill="auto"/>
            <w:vAlign w:val="bottom"/>
          </w:tcPr>
          <w:p>
            <w:pP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其中：美元</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158,047.59</w:t>
            </w: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6.9646</w:t>
            </w: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1,100,738.25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151" w:type="dxa"/>
            <w:tcBorders>
              <w:top w:val="single" w:color="auto" w:sz="4" w:space="0"/>
              <w:bottom w:val="single" w:color="auto" w:sz="4" w:space="0"/>
            </w:tcBorders>
            <w:shd w:val="clear" w:color="auto" w:fill="auto"/>
            <w:vAlign w:val="bottom"/>
          </w:tcPr>
          <w:p>
            <w:pPr>
              <w:ind w:firstLine="540" w:firstLineChars="3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欧元</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143,507.94</w:t>
            </w: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7.4229</w:t>
            </w: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1,065,245.09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151" w:type="dxa"/>
            <w:tcBorders>
              <w:top w:val="single" w:color="auto" w:sz="4" w:space="0"/>
              <w:bottom w:val="single" w:color="auto" w:sz="4" w:space="0"/>
            </w:tcBorders>
            <w:shd w:val="clear" w:color="auto" w:fill="auto"/>
            <w:vAlign w:val="bottom"/>
          </w:tcPr>
          <w:p>
            <w:pPr>
              <w:jc w:val="left"/>
              <w:rPr>
                <w:rFonts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其他应付款</w:t>
            </w:r>
          </w:p>
        </w:tc>
        <w:tc>
          <w:tcPr>
            <w:tcW w:w="2260"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1968"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c>
          <w:tcPr>
            <w:tcW w:w="2552" w:type="dxa"/>
            <w:tcBorders>
              <w:top w:val="single" w:color="auto" w:sz="4" w:space="0"/>
              <w:bottom w:val="single" w:color="auto" w:sz="4" w:space="0"/>
            </w:tcBorders>
            <w:shd w:val="clear" w:color="auto" w:fill="auto"/>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2151" w:type="dxa"/>
            <w:tcBorders>
              <w:top w:val="single" w:color="auto" w:sz="4" w:space="0"/>
              <w:bottom w:val="single" w:color="auto" w:sz="12" w:space="0"/>
            </w:tcBorders>
            <w:shd w:val="clear" w:color="auto" w:fill="auto"/>
            <w:vAlign w:val="bottom"/>
          </w:tcPr>
          <w:p>
            <w:pPr>
              <w:jc w:val="lef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其中：美元</w:t>
            </w:r>
          </w:p>
        </w:tc>
        <w:tc>
          <w:tcPr>
            <w:tcW w:w="2260" w:type="dxa"/>
            <w:tcBorders>
              <w:top w:val="single" w:color="auto" w:sz="4" w:space="0"/>
              <w:bottom w:val="single" w:color="auto" w:sz="12"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205,430.20 </w:t>
            </w:r>
          </w:p>
        </w:tc>
        <w:tc>
          <w:tcPr>
            <w:tcW w:w="1968" w:type="dxa"/>
            <w:tcBorders>
              <w:top w:val="single" w:color="auto" w:sz="4" w:space="0"/>
              <w:bottom w:val="single" w:color="auto" w:sz="12"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6.9646 </w:t>
            </w:r>
          </w:p>
        </w:tc>
        <w:tc>
          <w:tcPr>
            <w:tcW w:w="2552" w:type="dxa"/>
            <w:tcBorders>
              <w:top w:val="single" w:color="auto" w:sz="4" w:space="0"/>
              <w:bottom w:val="single" w:color="auto" w:sz="12" w:space="0"/>
            </w:tcBorders>
            <w:shd w:val="clear" w:color="auto" w:fill="auto"/>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 xml:space="preserve">1,430,739.17 </w:t>
            </w:r>
          </w:p>
        </w:tc>
      </w:tr>
    </w:tbl>
    <w:p>
      <w:pPr>
        <w:spacing w:before="150" w:beforeLines="50" w:line="360" w:lineRule="auto"/>
        <w:ind w:firstLine="411" w:firstLineChars="196"/>
        <w:rPr>
          <w:rFonts w:ascii="宋体" w:hAnsi="宋体"/>
          <w:color w:val="auto"/>
        </w:rPr>
      </w:pPr>
      <w:r>
        <w:rPr>
          <w:rFonts w:hint="eastAsia" w:ascii="宋体" w:hAnsi="宋体"/>
          <w:color w:val="auto"/>
        </w:rPr>
        <w:t>为规避汇率风险，公司主要采取以下措施：通过积极调整生产结构和产品结构，提高劳动生产率和产品附加值，争取更大的利润空间；合理利用结汇规则并择机开展远期结汇业务，力求结汇利益最大化；加快资金回笼速度，及时结汇，加快资金的周转率；充分依靠公司的竞争优势，发挥议价能力，接单过程中全面考虑人民币的升值预期，在出口合同中附加相关条款，减少和转嫁部分汇率波动风险。</w:t>
      </w:r>
    </w:p>
    <w:p>
      <w:pPr>
        <w:spacing w:line="360" w:lineRule="auto"/>
        <w:ind w:firstLine="420" w:firstLineChars="200"/>
        <w:rPr>
          <w:rFonts w:ascii="宋体" w:hAnsi="宋体"/>
          <w:color w:val="auto"/>
        </w:rPr>
      </w:pPr>
      <w:r>
        <w:rPr>
          <w:rFonts w:hint="eastAsia" w:ascii="宋体" w:hAnsi="宋体"/>
          <w:color w:val="auto"/>
        </w:rPr>
        <w:t>（2）利率风险</w:t>
      </w:r>
    </w:p>
    <w:p>
      <w:pPr>
        <w:spacing w:line="360" w:lineRule="auto"/>
        <w:ind w:firstLine="420" w:firstLineChars="200"/>
        <w:rPr>
          <w:rFonts w:ascii="宋体" w:hAnsi="宋体"/>
          <w:color w:val="auto"/>
        </w:rPr>
      </w:pPr>
      <w:r>
        <w:rPr>
          <w:rFonts w:hint="eastAsia" w:ascii="宋体" w:hAnsi="宋体"/>
          <w:color w:val="auto"/>
        </w:rPr>
        <w:t>利率风险，是指金融工具的公允价值或未来现金流量因市场利率变动而发生波动的风险。本公司面临的利率风险主要来源于企业与银行及其他金融机构之间的往来业务。</w:t>
      </w:r>
    </w:p>
    <w:p>
      <w:pPr>
        <w:spacing w:before="150" w:beforeLines="50" w:after="150" w:afterLines="50" w:line="360" w:lineRule="auto"/>
        <w:ind w:firstLine="420" w:firstLineChars="200"/>
        <w:rPr>
          <w:rFonts w:ascii="宋体" w:hAnsi="宋体"/>
          <w:b/>
          <w:bCs/>
          <w:color w:val="auto"/>
        </w:rPr>
      </w:pPr>
      <w:r>
        <w:rPr>
          <w:rFonts w:hint="eastAsia" w:ascii="宋体" w:hAnsi="宋体"/>
          <w:b/>
          <w:bCs/>
          <w:color w:val="auto"/>
        </w:rPr>
        <w:t>3、流动性风险</w:t>
      </w:r>
    </w:p>
    <w:p>
      <w:pPr>
        <w:spacing w:line="360" w:lineRule="auto"/>
        <w:ind w:firstLine="420" w:firstLineChars="200"/>
        <w:rPr>
          <w:rFonts w:ascii="宋体" w:hAnsi="宋体"/>
          <w:bCs/>
          <w:color w:val="auto"/>
        </w:rPr>
      </w:pPr>
      <w:r>
        <w:rPr>
          <w:rFonts w:hint="eastAsia" w:ascii="宋体" w:hAnsi="宋体"/>
          <w:bCs/>
          <w:color w:val="auto"/>
        </w:rPr>
        <w:t>流动性风险，是指企业在履行以交付现金或其他金融资产的方式结算的义务时发生资金短缺的风险。本公司的政策是确保拥有充足的现金以偿还到期债务。流动性风险由本公司的财务部门集中控制。财务部门通过监控现金余额、可随时变现的有价证券等以确保公司在所有合理预测的情况下拥有充足的资金偿还债务。</w:t>
      </w:r>
    </w:p>
    <w:p>
      <w:pPr>
        <w:spacing w:before="150" w:beforeLines="50" w:after="150" w:afterLines="50" w:line="360" w:lineRule="auto"/>
        <w:ind w:firstLine="480" w:firstLineChars="200"/>
        <w:outlineLvl w:val="0"/>
        <w:rPr>
          <w:rFonts w:cs="Arial" w:asciiTheme="minorEastAsia" w:hAnsiTheme="minorEastAsia" w:eastAsiaTheme="minorEastAsia"/>
          <w:b/>
          <w:bCs/>
          <w:color w:val="auto"/>
          <w:sz w:val="24"/>
          <w:szCs w:val="24"/>
        </w:rPr>
      </w:pPr>
      <w:r>
        <w:rPr>
          <w:rFonts w:hint="eastAsia" w:cs="Arial" w:asciiTheme="minorEastAsia" w:hAnsiTheme="minorEastAsia" w:eastAsiaTheme="minorEastAsia"/>
          <w:b/>
          <w:bCs/>
          <w:color w:val="auto"/>
          <w:sz w:val="24"/>
          <w:szCs w:val="24"/>
        </w:rPr>
        <w:t>九、公允价值的披露</w:t>
      </w:r>
    </w:p>
    <w:p>
      <w:pPr>
        <w:pStyle w:val="5"/>
        <w:spacing w:before="150" w:beforeLines="50" w:after="150" w:afterLines="50" w:line="360" w:lineRule="auto"/>
        <w:ind w:firstLine="420" w:firstLineChars="200"/>
        <w:outlineLvl w:val="1"/>
        <w:rPr>
          <w:rFonts w:ascii="宋体" w:hAnsi="宋体" w:eastAsia="宋体"/>
          <w:b/>
          <w:color w:val="auto"/>
          <w:szCs w:val="21"/>
        </w:rPr>
      </w:pPr>
      <w:r>
        <w:rPr>
          <w:rFonts w:hint="eastAsia" w:ascii="宋体" w:hAnsi="宋体" w:eastAsia="宋体"/>
          <w:b/>
          <w:color w:val="auto"/>
          <w:szCs w:val="21"/>
        </w:rPr>
        <w:t>1、以公允价值计量的资产和负债的期末公允价值</w:t>
      </w:r>
    </w:p>
    <w:tbl>
      <w:tblPr>
        <w:tblStyle w:val="9"/>
        <w:tblW w:w="5000" w:type="pct"/>
        <w:tblCaption w:val="&quot;\\lisheng\共享\1、伟隆2022年度审计\1、2022年度审计\1、附注及报告\2022年\附注计算-伟隆 - 2022.xlsx&quot; &quot;2022附注格式!_ReportTable_0102&quot;"/>
        <w:tblDescription w:val="A886:E906"/>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2954"/>
        <w:gridCol w:w="1613"/>
        <w:gridCol w:w="1663"/>
        <w:gridCol w:w="1512"/>
        <w:gridCol w:w="19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vMerge w:val="restart"/>
            <w:tcBorders>
              <w:top w:val="single" w:color="auto" w:sz="12" w:space="0"/>
            </w:tcBorders>
            <w:vAlign w:val="center"/>
          </w:tcPr>
          <w:p>
            <w:pPr>
              <w:spacing w:line="276" w:lineRule="auto"/>
              <w:jc w:val="center"/>
              <w:outlineLvl w:val="2"/>
              <w:rPr>
                <w:rFonts w:ascii="Cambria" w:hAnsi="Cambria" w:cs="Cambria"/>
                <w:b/>
                <w:color w:val="auto"/>
                <w:sz w:val="18"/>
                <w:szCs w:val="18"/>
              </w:rPr>
            </w:pPr>
            <w:r>
              <w:rPr>
                <w:rFonts w:hint="eastAsia" w:ascii="Cambria" w:hAnsi="Cambria" w:cs="Cambria"/>
                <w:b/>
                <w:color w:val="auto"/>
                <w:sz w:val="18"/>
                <w:szCs w:val="18"/>
              </w:rPr>
              <w:t>项目</w:t>
            </w:r>
          </w:p>
        </w:tc>
        <w:tc>
          <w:tcPr>
            <w:tcW w:w="3476" w:type="pct"/>
            <w:gridSpan w:val="4"/>
            <w:tcBorders>
              <w:top w:val="single" w:color="auto" w:sz="12" w:space="0"/>
            </w:tcBorders>
            <w:vAlign w:val="center"/>
          </w:tcPr>
          <w:p>
            <w:pPr>
              <w:spacing w:line="276" w:lineRule="auto"/>
              <w:jc w:val="center"/>
              <w:outlineLvl w:val="2"/>
              <w:rPr>
                <w:rFonts w:ascii="Cambria" w:hAnsi="Cambria" w:cs="Cambria"/>
                <w:b/>
                <w:color w:val="auto"/>
                <w:sz w:val="18"/>
                <w:szCs w:val="18"/>
              </w:rPr>
            </w:pPr>
            <w:r>
              <w:rPr>
                <w:rFonts w:hint="eastAsia" w:ascii="Cambria" w:hAnsi="Cambria" w:cs="Cambria"/>
                <w:b/>
                <w:color w:val="auto"/>
                <w:sz w:val="18"/>
                <w:szCs w:val="18"/>
              </w:rPr>
              <w:t>期末公允价值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vMerge w:val="continue"/>
            <w:tcBorders>
              <w:bottom w:val="single" w:color="auto" w:sz="12" w:space="0"/>
            </w:tcBorders>
            <w:vAlign w:val="center"/>
          </w:tcPr>
          <w:p>
            <w:pPr>
              <w:spacing w:line="276" w:lineRule="auto"/>
              <w:jc w:val="center"/>
              <w:outlineLvl w:val="2"/>
              <w:rPr>
                <w:rFonts w:ascii="Cambria" w:hAnsi="Cambria" w:cs="Cambria"/>
                <w:b/>
                <w:color w:val="auto"/>
                <w:sz w:val="18"/>
                <w:szCs w:val="18"/>
              </w:rPr>
            </w:pPr>
          </w:p>
        </w:tc>
        <w:tc>
          <w:tcPr>
            <w:tcW w:w="832" w:type="pct"/>
            <w:tcBorders>
              <w:bottom w:val="single" w:color="auto" w:sz="12" w:space="0"/>
            </w:tcBorders>
            <w:vAlign w:val="center"/>
          </w:tcPr>
          <w:p>
            <w:pPr>
              <w:spacing w:line="276" w:lineRule="auto"/>
              <w:jc w:val="center"/>
              <w:outlineLvl w:val="2"/>
              <w:rPr>
                <w:rFonts w:ascii="Cambria" w:hAnsi="Cambria" w:cs="Cambria"/>
                <w:b/>
                <w:color w:val="auto"/>
                <w:sz w:val="18"/>
                <w:szCs w:val="18"/>
              </w:rPr>
            </w:pPr>
            <w:r>
              <w:rPr>
                <w:rFonts w:hint="eastAsia" w:ascii="Cambria" w:hAnsi="Cambria" w:cs="Cambria"/>
                <w:b/>
                <w:color w:val="auto"/>
                <w:sz w:val="18"/>
                <w:szCs w:val="18"/>
              </w:rPr>
              <w:t>第一层次公允价值计量</w:t>
            </w:r>
          </w:p>
        </w:tc>
        <w:tc>
          <w:tcPr>
            <w:tcW w:w="858" w:type="pct"/>
            <w:tcBorders>
              <w:bottom w:val="single" w:color="auto" w:sz="12" w:space="0"/>
            </w:tcBorders>
            <w:vAlign w:val="center"/>
          </w:tcPr>
          <w:p>
            <w:pPr>
              <w:spacing w:line="276" w:lineRule="auto"/>
              <w:jc w:val="center"/>
              <w:outlineLvl w:val="2"/>
              <w:rPr>
                <w:rFonts w:ascii="Cambria" w:hAnsi="Cambria" w:cs="Cambria"/>
                <w:b/>
                <w:color w:val="auto"/>
                <w:sz w:val="18"/>
                <w:szCs w:val="18"/>
              </w:rPr>
            </w:pPr>
            <w:r>
              <w:rPr>
                <w:rFonts w:hint="eastAsia" w:ascii="Cambria" w:hAnsi="Cambria" w:cs="Cambria"/>
                <w:b/>
                <w:color w:val="auto"/>
                <w:sz w:val="18"/>
                <w:szCs w:val="18"/>
              </w:rPr>
              <w:t>第二层次公允价值计量</w:t>
            </w:r>
          </w:p>
        </w:tc>
        <w:tc>
          <w:tcPr>
            <w:tcW w:w="780" w:type="pct"/>
            <w:tcBorders>
              <w:bottom w:val="single" w:color="auto" w:sz="12" w:space="0"/>
            </w:tcBorders>
            <w:vAlign w:val="center"/>
          </w:tcPr>
          <w:p>
            <w:pPr>
              <w:spacing w:line="276" w:lineRule="auto"/>
              <w:jc w:val="center"/>
              <w:outlineLvl w:val="2"/>
              <w:rPr>
                <w:rFonts w:ascii="Cambria" w:hAnsi="Cambria" w:cs="Cambria"/>
                <w:b/>
                <w:color w:val="auto"/>
                <w:sz w:val="18"/>
                <w:szCs w:val="18"/>
              </w:rPr>
            </w:pPr>
            <w:r>
              <w:rPr>
                <w:rFonts w:hint="eastAsia" w:ascii="Cambria" w:hAnsi="Cambria" w:cs="Cambria"/>
                <w:b/>
                <w:color w:val="auto"/>
                <w:sz w:val="18"/>
                <w:szCs w:val="18"/>
              </w:rPr>
              <w:t>第三层次公允价值计量</w:t>
            </w:r>
          </w:p>
        </w:tc>
        <w:tc>
          <w:tcPr>
            <w:tcW w:w="1006" w:type="pct"/>
            <w:tcBorders>
              <w:bottom w:val="single" w:color="auto" w:sz="12" w:space="0"/>
            </w:tcBorders>
            <w:vAlign w:val="center"/>
          </w:tcPr>
          <w:p>
            <w:pPr>
              <w:spacing w:line="276" w:lineRule="auto"/>
              <w:jc w:val="center"/>
              <w:outlineLvl w:val="2"/>
              <w:rPr>
                <w:rFonts w:ascii="Cambria" w:hAnsi="Cambria" w:cs="Cambria"/>
                <w:b/>
                <w:color w:val="auto"/>
                <w:sz w:val="18"/>
                <w:szCs w:val="18"/>
              </w:rPr>
            </w:pPr>
            <w:r>
              <w:rPr>
                <w:rFonts w:hint="eastAsia" w:ascii="Cambria" w:hAnsi="Cambria" w:cs="Cambria"/>
                <w:b/>
                <w:color w:val="auto"/>
                <w:sz w:val="18"/>
                <w:szCs w:val="18"/>
              </w:rPr>
              <w:t>合计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tcBorders>
              <w:top w:val="single" w:color="auto" w:sz="12" w:space="0"/>
            </w:tcBorders>
            <w:vAlign w:val="bottom"/>
          </w:tcPr>
          <w:p>
            <w:pPr>
              <w:spacing w:line="276" w:lineRule="auto"/>
              <w:outlineLvl w:val="2"/>
              <w:rPr>
                <w:rFonts w:ascii="Cambria" w:hAnsi="Cambria" w:cs="Cambria"/>
                <w:b/>
                <w:color w:val="auto"/>
                <w:sz w:val="18"/>
                <w:szCs w:val="18"/>
              </w:rPr>
            </w:pPr>
            <w:r>
              <w:rPr>
                <w:rFonts w:hint="eastAsia" w:ascii="Cambria" w:hAnsi="Cambria" w:cs="Cambria"/>
                <w:b/>
                <w:color w:val="auto"/>
                <w:sz w:val="18"/>
                <w:szCs w:val="18"/>
              </w:rPr>
              <w:t>持续的公允价值计量</w:t>
            </w:r>
          </w:p>
        </w:tc>
        <w:tc>
          <w:tcPr>
            <w:tcW w:w="832" w:type="pct"/>
            <w:tcBorders>
              <w:top w:val="single" w:color="auto" w:sz="12" w:space="0"/>
            </w:tcBorders>
            <w:vAlign w:val="bottom"/>
          </w:tcPr>
          <w:p>
            <w:pPr>
              <w:jc w:val="right"/>
              <w:rPr>
                <w:rFonts w:ascii="宋体" w:hAnsi="宋体" w:cs="宋体"/>
                <w:color w:val="auto"/>
                <w:sz w:val="18"/>
                <w:szCs w:val="18"/>
              </w:rPr>
            </w:pPr>
          </w:p>
        </w:tc>
        <w:tc>
          <w:tcPr>
            <w:tcW w:w="858" w:type="pct"/>
            <w:tcBorders>
              <w:top w:val="single" w:color="auto" w:sz="12" w:space="0"/>
            </w:tcBorders>
            <w:vAlign w:val="bottom"/>
          </w:tcPr>
          <w:p>
            <w:pPr>
              <w:jc w:val="right"/>
              <w:rPr>
                <w:rFonts w:ascii="宋体" w:hAnsi="宋体" w:cs="宋体"/>
                <w:color w:val="auto"/>
                <w:sz w:val="18"/>
                <w:szCs w:val="18"/>
              </w:rPr>
            </w:pPr>
          </w:p>
        </w:tc>
        <w:tc>
          <w:tcPr>
            <w:tcW w:w="780" w:type="pct"/>
            <w:tcBorders>
              <w:top w:val="single" w:color="auto" w:sz="12" w:space="0"/>
            </w:tcBorders>
            <w:vAlign w:val="bottom"/>
          </w:tcPr>
          <w:p>
            <w:pPr>
              <w:jc w:val="right"/>
              <w:rPr>
                <w:rFonts w:ascii="宋体" w:hAnsi="宋体" w:cs="宋体"/>
                <w:color w:val="auto"/>
                <w:sz w:val="18"/>
                <w:szCs w:val="18"/>
              </w:rPr>
            </w:pPr>
          </w:p>
        </w:tc>
        <w:tc>
          <w:tcPr>
            <w:tcW w:w="1006" w:type="pct"/>
            <w:tcBorders>
              <w:top w:val="single" w:color="auto" w:sz="12" w:space="0"/>
            </w:tcBorders>
            <w:vAlign w:val="bottom"/>
          </w:tcPr>
          <w:p>
            <w:pPr>
              <w:jc w:val="right"/>
              <w:rPr>
                <w:rFonts w:ascii="宋体" w:hAnsi="宋体" w:cs="宋体"/>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vAlign w:val="bottom"/>
          </w:tcPr>
          <w:p>
            <w:pPr>
              <w:spacing w:line="276" w:lineRule="auto"/>
              <w:outlineLvl w:val="2"/>
              <w:rPr>
                <w:rFonts w:ascii="Cambria" w:hAnsi="Cambria" w:cs="Cambria"/>
                <w:color w:val="auto"/>
                <w:sz w:val="18"/>
                <w:szCs w:val="18"/>
              </w:rPr>
            </w:pPr>
            <w:r>
              <w:rPr>
                <w:rFonts w:hint="eastAsia" w:ascii="Cambria" w:hAnsi="Cambria" w:cs="Cambria"/>
                <w:color w:val="auto"/>
                <w:sz w:val="18"/>
                <w:szCs w:val="18"/>
              </w:rPr>
              <w:t>（一）交易性金融资产</w:t>
            </w:r>
          </w:p>
        </w:tc>
        <w:tc>
          <w:tcPr>
            <w:tcW w:w="832" w:type="pct"/>
            <w:vAlign w:val="bottom"/>
          </w:tcPr>
          <w:p>
            <w:pPr>
              <w:jc w:val="right"/>
              <w:rPr>
                <w:rFonts w:cs="宋体" w:asciiTheme="majorEastAsia" w:hAnsiTheme="majorEastAsia" w:eastAsiaTheme="majorEastAsia"/>
                <w:color w:val="auto"/>
                <w:sz w:val="18"/>
                <w:szCs w:val="18"/>
              </w:rPr>
            </w:pPr>
          </w:p>
        </w:tc>
        <w:tc>
          <w:tcPr>
            <w:tcW w:w="858"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254,123,980.37</w:t>
            </w:r>
          </w:p>
        </w:tc>
        <w:tc>
          <w:tcPr>
            <w:tcW w:w="780" w:type="pct"/>
            <w:vAlign w:val="bottom"/>
          </w:tcPr>
          <w:p>
            <w:pPr>
              <w:jc w:val="right"/>
              <w:rPr>
                <w:rFonts w:cs="宋体" w:asciiTheme="minorEastAsia" w:hAnsiTheme="minorEastAsia" w:eastAsiaTheme="minorEastAsia"/>
                <w:color w:val="auto"/>
                <w:sz w:val="18"/>
                <w:szCs w:val="18"/>
              </w:rPr>
            </w:pPr>
          </w:p>
        </w:tc>
        <w:tc>
          <w:tcPr>
            <w:tcW w:w="1006"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254,123,980.37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vAlign w:val="bottom"/>
          </w:tcPr>
          <w:p>
            <w:pPr>
              <w:spacing w:line="276" w:lineRule="auto"/>
              <w:outlineLvl w:val="2"/>
              <w:rPr>
                <w:rFonts w:ascii="宋体" w:hAnsi="宋体" w:cs="Cambria"/>
                <w:color w:val="auto"/>
                <w:sz w:val="18"/>
                <w:szCs w:val="18"/>
              </w:rPr>
            </w:pPr>
            <w:r>
              <w:rPr>
                <w:rFonts w:ascii="宋体" w:hAnsi="宋体" w:cs="Cambria"/>
                <w:color w:val="auto"/>
                <w:sz w:val="18"/>
                <w:szCs w:val="18"/>
              </w:rPr>
              <w:t>1.交易性金融资产</w:t>
            </w:r>
          </w:p>
        </w:tc>
        <w:tc>
          <w:tcPr>
            <w:tcW w:w="832" w:type="pct"/>
            <w:vAlign w:val="bottom"/>
          </w:tcPr>
          <w:p>
            <w:pPr>
              <w:jc w:val="right"/>
              <w:rPr>
                <w:rFonts w:cs="宋体" w:asciiTheme="majorEastAsia" w:hAnsiTheme="majorEastAsia" w:eastAsiaTheme="majorEastAsia"/>
                <w:color w:val="auto"/>
                <w:sz w:val="18"/>
                <w:szCs w:val="18"/>
              </w:rPr>
            </w:pPr>
          </w:p>
        </w:tc>
        <w:tc>
          <w:tcPr>
            <w:tcW w:w="858"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254,123,980.37</w:t>
            </w:r>
          </w:p>
        </w:tc>
        <w:tc>
          <w:tcPr>
            <w:tcW w:w="780" w:type="pct"/>
            <w:vAlign w:val="bottom"/>
          </w:tcPr>
          <w:p>
            <w:pPr>
              <w:jc w:val="right"/>
              <w:rPr>
                <w:rFonts w:cs="宋体" w:asciiTheme="minorEastAsia" w:hAnsiTheme="minorEastAsia" w:eastAsiaTheme="minorEastAsia"/>
                <w:color w:val="auto"/>
                <w:sz w:val="18"/>
                <w:szCs w:val="18"/>
              </w:rPr>
            </w:pPr>
          </w:p>
        </w:tc>
        <w:tc>
          <w:tcPr>
            <w:tcW w:w="1006"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254,123,980.37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vAlign w:val="bottom"/>
          </w:tcPr>
          <w:p>
            <w:pPr>
              <w:spacing w:line="276" w:lineRule="auto"/>
              <w:outlineLvl w:val="2"/>
              <w:rPr>
                <w:rFonts w:ascii="宋体" w:hAnsi="宋体" w:cs="Cambria"/>
                <w:color w:val="auto"/>
                <w:sz w:val="18"/>
                <w:szCs w:val="18"/>
              </w:rPr>
            </w:pPr>
            <w:r>
              <w:rPr>
                <w:rFonts w:hint="eastAsia" w:ascii="宋体" w:hAnsi="宋体" w:cs="Cambria"/>
                <w:color w:val="auto"/>
                <w:sz w:val="18"/>
                <w:szCs w:val="18"/>
              </w:rPr>
              <w:t>（</w:t>
            </w:r>
            <w:r>
              <w:rPr>
                <w:rFonts w:ascii="宋体" w:hAnsi="宋体" w:cs="Cambria"/>
                <w:color w:val="auto"/>
                <w:sz w:val="18"/>
                <w:szCs w:val="18"/>
              </w:rPr>
              <w:t>1）债务工具投资</w:t>
            </w:r>
          </w:p>
        </w:tc>
        <w:tc>
          <w:tcPr>
            <w:tcW w:w="832" w:type="pct"/>
            <w:vAlign w:val="bottom"/>
          </w:tcPr>
          <w:p>
            <w:pPr>
              <w:jc w:val="right"/>
              <w:rPr>
                <w:rFonts w:cs="宋体" w:asciiTheme="majorEastAsia" w:hAnsiTheme="majorEastAsia" w:eastAsiaTheme="majorEastAsia"/>
                <w:color w:val="auto"/>
                <w:sz w:val="18"/>
                <w:szCs w:val="18"/>
              </w:rPr>
            </w:pPr>
          </w:p>
        </w:tc>
        <w:tc>
          <w:tcPr>
            <w:tcW w:w="858" w:type="pct"/>
            <w:vAlign w:val="bottom"/>
          </w:tcPr>
          <w:p>
            <w:pPr>
              <w:jc w:val="right"/>
              <w:rPr>
                <w:rFonts w:cs="宋体" w:asciiTheme="minorEastAsia" w:hAnsiTheme="minorEastAsia" w:eastAsiaTheme="minorEastAsia"/>
                <w:color w:val="auto"/>
                <w:sz w:val="18"/>
                <w:szCs w:val="18"/>
              </w:rPr>
            </w:pPr>
          </w:p>
        </w:tc>
        <w:tc>
          <w:tcPr>
            <w:tcW w:w="780" w:type="pct"/>
            <w:vAlign w:val="bottom"/>
          </w:tcPr>
          <w:p>
            <w:pPr>
              <w:jc w:val="right"/>
              <w:rPr>
                <w:rFonts w:cs="宋体" w:asciiTheme="minorEastAsia" w:hAnsiTheme="minorEastAsia" w:eastAsiaTheme="minorEastAsia"/>
                <w:color w:val="auto"/>
                <w:sz w:val="18"/>
                <w:szCs w:val="18"/>
              </w:rPr>
            </w:pPr>
          </w:p>
        </w:tc>
        <w:tc>
          <w:tcPr>
            <w:tcW w:w="1006"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vAlign w:val="bottom"/>
          </w:tcPr>
          <w:p>
            <w:pPr>
              <w:spacing w:line="276" w:lineRule="auto"/>
              <w:outlineLvl w:val="2"/>
              <w:rPr>
                <w:rFonts w:ascii="宋体" w:hAnsi="宋体" w:cs="Cambria"/>
                <w:color w:val="auto"/>
                <w:sz w:val="18"/>
                <w:szCs w:val="18"/>
              </w:rPr>
            </w:pPr>
            <w:r>
              <w:rPr>
                <w:rFonts w:hint="eastAsia" w:ascii="宋体" w:hAnsi="宋体" w:cs="Cambria"/>
                <w:color w:val="auto"/>
                <w:sz w:val="18"/>
                <w:szCs w:val="18"/>
              </w:rPr>
              <w:t>（</w:t>
            </w:r>
            <w:r>
              <w:rPr>
                <w:rFonts w:ascii="宋体" w:hAnsi="宋体" w:cs="Cambria"/>
                <w:color w:val="auto"/>
                <w:sz w:val="18"/>
                <w:szCs w:val="18"/>
              </w:rPr>
              <w:t>2）权益工具投资</w:t>
            </w:r>
          </w:p>
        </w:tc>
        <w:tc>
          <w:tcPr>
            <w:tcW w:w="832" w:type="pct"/>
            <w:vAlign w:val="bottom"/>
          </w:tcPr>
          <w:p>
            <w:pPr>
              <w:jc w:val="right"/>
              <w:rPr>
                <w:rFonts w:cs="宋体" w:asciiTheme="majorEastAsia" w:hAnsiTheme="majorEastAsia" w:eastAsiaTheme="majorEastAsia"/>
                <w:color w:val="auto"/>
                <w:sz w:val="18"/>
                <w:szCs w:val="18"/>
              </w:rPr>
            </w:pPr>
          </w:p>
        </w:tc>
        <w:tc>
          <w:tcPr>
            <w:tcW w:w="858" w:type="pct"/>
            <w:vAlign w:val="bottom"/>
          </w:tcPr>
          <w:p>
            <w:pPr>
              <w:jc w:val="right"/>
              <w:rPr>
                <w:rFonts w:cs="宋体" w:asciiTheme="minorEastAsia" w:hAnsiTheme="minorEastAsia" w:eastAsiaTheme="minorEastAsia"/>
                <w:color w:val="auto"/>
                <w:sz w:val="18"/>
                <w:szCs w:val="18"/>
              </w:rPr>
            </w:pPr>
          </w:p>
        </w:tc>
        <w:tc>
          <w:tcPr>
            <w:tcW w:w="780" w:type="pct"/>
            <w:vAlign w:val="bottom"/>
          </w:tcPr>
          <w:p>
            <w:pPr>
              <w:jc w:val="right"/>
              <w:rPr>
                <w:rFonts w:cs="宋体" w:asciiTheme="minorEastAsia" w:hAnsiTheme="minorEastAsia" w:eastAsiaTheme="minorEastAsia"/>
                <w:color w:val="auto"/>
                <w:sz w:val="18"/>
                <w:szCs w:val="18"/>
              </w:rPr>
            </w:pPr>
          </w:p>
        </w:tc>
        <w:tc>
          <w:tcPr>
            <w:tcW w:w="1006"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vAlign w:val="bottom"/>
          </w:tcPr>
          <w:p>
            <w:pPr>
              <w:spacing w:line="276" w:lineRule="auto"/>
              <w:outlineLvl w:val="2"/>
              <w:rPr>
                <w:rFonts w:ascii="宋体" w:hAnsi="宋体" w:cs="Cambria"/>
                <w:color w:val="auto"/>
                <w:sz w:val="18"/>
                <w:szCs w:val="18"/>
              </w:rPr>
            </w:pPr>
            <w:r>
              <w:rPr>
                <w:rFonts w:hint="eastAsia" w:ascii="宋体" w:hAnsi="宋体" w:cs="Cambria"/>
                <w:color w:val="auto"/>
                <w:sz w:val="18"/>
                <w:szCs w:val="18"/>
              </w:rPr>
              <w:t>（</w:t>
            </w:r>
            <w:r>
              <w:rPr>
                <w:rFonts w:ascii="宋体" w:hAnsi="宋体" w:cs="Cambria"/>
                <w:color w:val="auto"/>
                <w:sz w:val="18"/>
                <w:szCs w:val="18"/>
              </w:rPr>
              <w:t>3）衍生金融资产</w:t>
            </w:r>
          </w:p>
        </w:tc>
        <w:tc>
          <w:tcPr>
            <w:tcW w:w="832" w:type="pct"/>
            <w:vAlign w:val="bottom"/>
          </w:tcPr>
          <w:p>
            <w:pPr>
              <w:jc w:val="right"/>
              <w:rPr>
                <w:rFonts w:cs="宋体" w:asciiTheme="majorEastAsia" w:hAnsiTheme="majorEastAsia" w:eastAsiaTheme="majorEastAsia"/>
                <w:color w:val="auto"/>
                <w:sz w:val="18"/>
                <w:szCs w:val="18"/>
              </w:rPr>
            </w:pPr>
          </w:p>
        </w:tc>
        <w:tc>
          <w:tcPr>
            <w:tcW w:w="858" w:type="pct"/>
            <w:vAlign w:val="bottom"/>
          </w:tcPr>
          <w:p>
            <w:pPr>
              <w:jc w:val="right"/>
              <w:rPr>
                <w:rFonts w:cs="宋体" w:asciiTheme="minorEastAsia" w:hAnsiTheme="minorEastAsia" w:eastAsiaTheme="minorEastAsia"/>
                <w:color w:val="auto"/>
                <w:sz w:val="18"/>
                <w:szCs w:val="18"/>
              </w:rPr>
            </w:pPr>
          </w:p>
        </w:tc>
        <w:tc>
          <w:tcPr>
            <w:tcW w:w="780" w:type="pct"/>
            <w:vAlign w:val="bottom"/>
          </w:tcPr>
          <w:p>
            <w:pPr>
              <w:jc w:val="right"/>
              <w:rPr>
                <w:rFonts w:cs="宋体" w:asciiTheme="minorEastAsia" w:hAnsiTheme="minorEastAsia" w:eastAsiaTheme="minorEastAsia"/>
                <w:color w:val="auto"/>
                <w:sz w:val="18"/>
                <w:szCs w:val="18"/>
              </w:rPr>
            </w:pPr>
          </w:p>
        </w:tc>
        <w:tc>
          <w:tcPr>
            <w:tcW w:w="1006"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vAlign w:val="bottom"/>
          </w:tcPr>
          <w:p>
            <w:pPr>
              <w:spacing w:line="276" w:lineRule="auto"/>
              <w:outlineLvl w:val="2"/>
              <w:rPr>
                <w:rFonts w:ascii="宋体" w:hAnsi="宋体" w:cs="Cambria"/>
                <w:color w:val="auto"/>
                <w:sz w:val="18"/>
                <w:szCs w:val="18"/>
              </w:rPr>
            </w:pPr>
            <w:r>
              <w:rPr>
                <w:rFonts w:hint="eastAsia" w:ascii="宋体" w:hAnsi="宋体" w:cs="Cambria"/>
                <w:color w:val="auto"/>
                <w:sz w:val="18"/>
                <w:szCs w:val="18"/>
              </w:rPr>
              <w:t>（</w:t>
            </w:r>
            <w:r>
              <w:rPr>
                <w:rFonts w:ascii="宋体" w:hAnsi="宋体" w:cs="Cambria"/>
                <w:color w:val="auto"/>
                <w:sz w:val="18"/>
                <w:szCs w:val="18"/>
              </w:rPr>
              <w:t>4）理财类产品</w:t>
            </w:r>
          </w:p>
        </w:tc>
        <w:tc>
          <w:tcPr>
            <w:tcW w:w="832" w:type="pct"/>
            <w:vAlign w:val="bottom"/>
          </w:tcPr>
          <w:p>
            <w:pPr>
              <w:jc w:val="right"/>
              <w:rPr>
                <w:rFonts w:cs="宋体" w:asciiTheme="majorEastAsia" w:hAnsiTheme="majorEastAsia" w:eastAsiaTheme="majorEastAsia"/>
                <w:color w:val="auto"/>
                <w:sz w:val="18"/>
                <w:szCs w:val="18"/>
              </w:rPr>
            </w:pPr>
          </w:p>
        </w:tc>
        <w:tc>
          <w:tcPr>
            <w:tcW w:w="858"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254,123,980.37</w:t>
            </w:r>
          </w:p>
        </w:tc>
        <w:tc>
          <w:tcPr>
            <w:tcW w:w="780" w:type="pct"/>
            <w:vAlign w:val="bottom"/>
          </w:tcPr>
          <w:p>
            <w:pPr>
              <w:jc w:val="right"/>
              <w:rPr>
                <w:rFonts w:cs="宋体" w:asciiTheme="minorEastAsia" w:hAnsiTheme="minorEastAsia" w:eastAsiaTheme="minorEastAsia"/>
                <w:color w:val="auto"/>
                <w:sz w:val="18"/>
                <w:szCs w:val="18"/>
              </w:rPr>
            </w:pPr>
          </w:p>
        </w:tc>
        <w:tc>
          <w:tcPr>
            <w:tcW w:w="1006"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254,123,980.37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vAlign w:val="bottom"/>
          </w:tcPr>
          <w:p>
            <w:pPr>
              <w:spacing w:line="276" w:lineRule="auto"/>
              <w:outlineLvl w:val="2"/>
              <w:rPr>
                <w:rFonts w:ascii="宋体" w:hAnsi="宋体" w:cs="Cambria"/>
                <w:color w:val="auto"/>
                <w:sz w:val="18"/>
                <w:szCs w:val="18"/>
              </w:rPr>
            </w:pPr>
            <w:r>
              <w:rPr>
                <w:rFonts w:ascii="宋体" w:hAnsi="宋体" w:cs="Cambria"/>
                <w:color w:val="auto"/>
                <w:sz w:val="18"/>
                <w:szCs w:val="18"/>
              </w:rPr>
              <w:t>2.指定以公允价值计量且其变动计入当期损益的金融资产</w:t>
            </w:r>
          </w:p>
        </w:tc>
        <w:tc>
          <w:tcPr>
            <w:tcW w:w="832" w:type="pct"/>
            <w:vAlign w:val="bottom"/>
          </w:tcPr>
          <w:p>
            <w:pPr>
              <w:jc w:val="right"/>
              <w:rPr>
                <w:rFonts w:cs="宋体" w:asciiTheme="majorEastAsia" w:hAnsiTheme="majorEastAsia" w:eastAsiaTheme="majorEastAsia"/>
                <w:color w:val="auto"/>
                <w:sz w:val="18"/>
                <w:szCs w:val="18"/>
              </w:rPr>
            </w:pPr>
          </w:p>
        </w:tc>
        <w:tc>
          <w:tcPr>
            <w:tcW w:w="858" w:type="pct"/>
            <w:vAlign w:val="bottom"/>
          </w:tcPr>
          <w:p>
            <w:pPr>
              <w:jc w:val="right"/>
              <w:rPr>
                <w:rFonts w:cs="宋体" w:asciiTheme="minorEastAsia" w:hAnsiTheme="minorEastAsia" w:eastAsiaTheme="minorEastAsia"/>
                <w:color w:val="auto"/>
                <w:sz w:val="18"/>
                <w:szCs w:val="18"/>
              </w:rPr>
            </w:pPr>
          </w:p>
        </w:tc>
        <w:tc>
          <w:tcPr>
            <w:tcW w:w="780" w:type="pct"/>
            <w:vAlign w:val="bottom"/>
          </w:tcPr>
          <w:p>
            <w:pPr>
              <w:jc w:val="right"/>
              <w:rPr>
                <w:rFonts w:cs="宋体" w:asciiTheme="minorEastAsia" w:hAnsiTheme="minorEastAsia" w:eastAsiaTheme="minorEastAsia"/>
                <w:color w:val="auto"/>
                <w:sz w:val="18"/>
                <w:szCs w:val="18"/>
              </w:rPr>
            </w:pPr>
          </w:p>
        </w:tc>
        <w:tc>
          <w:tcPr>
            <w:tcW w:w="1006"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vAlign w:val="bottom"/>
          </w:tcPr>
          <w:p>
            <w:pPr>
              <w:spacing w:line="276" w:lineRule="auto"/>
              <w:outlineLvl w:val="2"/>
              <w:rPr>
                <w:rFonts w:ascii="宋体" w:hAnsi="宋体" w:cs="Cambria"/>
                <w:color w:val="auto"/>
                <w:sz w:val="18"/>
                <w:szCs w:val="18"/>
              </w:rPr>
            </w:pPr>
            <w:r>
              <w:rPr>
                <w:rFonts w:hint="eastAsia" w:ascii="宋体" w:hAnsi="宋体" w:cs="Cambria"/>
                <w:color w:val="auto"/>
                <w:sz w:val="18"/>
                <w:szCs w:val="18"/>
              </w:rPr>
              <w:t>（</w:t>
            </w:r>
            <w:r>
              <w:rPr>
                <w:rFonts w:ascii="宋体" w:hAnsi="宋体" w:cs="Cambria"/>
                <w:color w:val="auto"/>
                <w:sz w:val="18"/>
                <w:szCs w:val="18"/>
              </w:rPr>
              <w:t>1）债务工具投资</w:t>
            </w:r>
          </w:p>
        </w:tc>
        <w:tc>
          <w:tcPr>
            <w:tcW w:w="832" w:type="pct"/>
            <w:vAlign w:val="bottom"/>
          </w:tcPr>
          <w:p>
            <w:pPr>
              <w:jc w:val="right"/>
              <w:rPr>
                <w:rFonts w:cs="宋体" w:asciiTheme="majorEastAsia" w:hAnsiTheme="majorEastAsia" w:eastAsiaTheme="majorEastAsia"/>
                <w:color w:val="auto"/>
                <w:sz w:val="18"/>
                <w:szCs w:val="18"/>
              </w:rPr>
            </w:pPr>
          </w:p>
        </w:tc>
        <w:tc>
          <w:tcPr>
            <w:tcW w:w="858" w:type="pct"/>
            <w:vAlign w:val="bottom"/>
          </w:tcPr>
          <w:p>
            <w:pPr>
              <w:jc w:val="right"/>
              <w:rPr>
                <w:rFonts w:cs="宋体" w:asciiTheme="minorEastAsia" w:hAnsiTheme="minorEastAsia" w:eastAsiaTheme="minorEastAsia"/>
                <w:color w:val="auto"/>
                <w:sz w:val="18"/>
                <w:szCs w:val="18"/>
              </w:rPr>
            </w:pPr>
          </w:p>
        </w:tc>
        <w:tc>
          <w:tcPr>
            <w:tcW w:w="780" w:type="pct"/>
            <w:vAlign w:val="bottom"/>
          </w:tcPr>
          <w:p>
            <w:pPr>
              <w:jc w:val="right"/>
              <w:rPr>
                <w:rFonts w:cs="宋体" w:asciiTheme="minorEastAsia" w:hAnsiTheme="minorEastAsia" w:eastAsiaTheme="minorEastAsia"/>
                <w:color w:val="auto"/>
                <w:sz w:val="18"/>
                <w:szCs w:val="18"/>
              </w:rPr>
            </w:pPr>
          </w:p>
        </w:tc>
        <w:tc>
          <w:tcPr>
            <w:tcW w:w="1006"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vAlign w:val="bottom"/>
          </w:tcPr>
          <w:p>
            <w:pPr>
              <w:spacing w:line="276" w:lineRule="auto"/>
              <w:outlineLvl w:val="2"/>
              <w:rPr>
                <w:rFonts w:ascii="宋体" w:hAnsi="宋体" w:cs="Cambria"/>
                <w:color w:val="auto"/>
                <w:sz w:val="18"/>
                <w:szCs w:val="18"/>
              </w:rPr>
            </w:pPr>
            <w:r>
              <w:rPr>
                <w:rFonts w:hint="eastAsia" w:ascii="宋体" w:hAnsi="宋体" w:cs="Cambria"/>
                <w:color w:val="auto"/>
                <w:sz w:val="18"/>
                <w:szCs w:val="18"/>
              </w:rPr>
              <w:t>（</w:t>
            </w:r>
            <w:r>
              <w:rPr>
                <w:rFonts w:ascii="宋体" w:hAnsi="宋体" w:cs="Cambria"/>
                <w:color w:val="auto"/>
                <w:sz w:val="18"/>
                <w:szCs w:val="18"/>
              </w:rPr>
              <w:t>2）权益工具投资</w:t>
            </w:r>
          </w:p>
        </w:tc>
        <w:tc>
          <w:tcPr>
            <w:tcW w:w="832" w:type="pct"/>
            <w:vAlign w:val="bottom"/>
          </w:tcPr>
          <w:p>
            <w:pPr>
              <w:jc w:val="right"/>
              <w:rPr>
                <w:rFonts w:cs="宋体" w:asciiTheme="majorEastAsia" w:hAnsiTheme="majorEastAsia" w:eastAsiaTheme="majorEastAsia"/>
                <w:color w:val="auto"/>
                <w:sz w:val="18"/>
                <w:szCs w:val="18"/>
              </w:rPr>
            </w:pPr>
          </w:p>
        </w:tc>
        <w:tc>
          <w:tcPr>
            <w:tcW w:w="858" w:type="pct"/>
            <w:vAlign w:val="bottom"/>
          </w:tcPr>
          <w:p>
            <w:pPr>
              <w:jc w:val="right"/>
              <w:rPr>
                <w:rFonts w:cs="宋体" w:asciiTheme="minorEastAsia" w:hAnsiTheme="minorEastAsia" w:eastAsiaTheme="minorEastAsia"/>
                <w:color w:val="auto"/>
                <w:sz w:val="18"/>
                <w:szCs w:val="18"/>
              </w:rPr>
            </w:pPr>
          </w:p>
        </w:tc>
        <w:tc>
          <w:tcPr>
            <w:tcW w:w="780" w:type="pct"/>
            <w:vAlign w:val="bottom"/>
          </w:tcPr>
          <w:p>
            <w:pPr>
              <w:jc w:val="right"/>
              <w:rPr>
                <w:rFonts w:cs="宋体" w:asciiTheme="minorEastAsia" w:hAnsiTheme="minorEastAsia" w:eastAsiaTheme="minorEastAsia"/>
                <w:color w:val="auto"/>
                <w:sz w:val="18"/>
                <w:szCs w:val="18"/>
              </w:rPr>
            </w:pPr>
          </w:p>
        </w:tc>
        <w:tc>
          <w:tcPr>
            <w:tcW w:w="1006"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vAlign w:val="bottom"/>
          </w:tcPr>
          <w:p>
            <w:pPr>
              <w:spacing w:line="276" w:lineRule="auto"/>
              <w:outlineLvl w:val="2"/>
              <w:rPr>
                <w:rFonts w:ascii="宋体" w:hAnsi="宋体" w:cs="Cambria"/>
                <w:color w:val="auto"/>
                <w:sz w:val="18"/>
                <w:szCs w:val="18"/>
              </w:rPr>
            </w:pPr>
            <w:r>
              <w:rPr>
                <w:rFonts w:hint="eastAsia" w:ascii="宋体" w:hAnsi="宋体" w:cs="Cambria"/>
                <w:color w:val="auto"/>
                <w:sz w:val="18"/>
                <w:szCs w:val="18"/>
              </w:rPr>
              <w:t>（二）其他债权投资</w:t>
            </w:r>
          </w:p>
        </w:tc>
        <w:tc>
          <w:tcPr>
            <w:tcW w:w="832" w:type="pct"/>
            <w:vAlign w:val="bottom"/>
          </w:tcPr>
          <w:p>
            <w:pPr>
              <w:jc w:val="right"/>
              <w:rPr>
                <w:rFonts w:cs="宋体" w:asciiTheme="majorEastAsia" w:hAnsiTheme="majorEastAsia" w:eastAsiaTheme="majorEastAsia"/>
                <w:color w:val="auto"/>
                <w:sz w:val="18"/>
                <w:szCs w:val="18"/>
              </w:rPr>
            </w:pPr>
          </w:p>
        </w:tc>
        <w:tc>
          <w:tcPr>
            <w:tcW w:w="858" w:type="pct"/>
            <w:vAlign w:val="bottom"/>
          </w:tcPr>
          <w:p>
            <w:pPr>
              <w:jc w:val="right"/>
              <w:rPr>
                <w:rFonts w:cs="宋体" w:asciiTheme="minorEastAsia" w:hAnsiTheme="minorEastAsia" w:eastAsiaTheme="minorEastAsia"/>
                <w:color w:val="auto"/>
                <w:sz w:val="18"/>
                <w:szCs w:val="18"/>
              </w:rPr>
            </w:pPr>
          </w:p>
        </w:tc>
        <w:tc>
          <w:tcPr>
            <w:tcW w:w="780" w:type="pct"/>
            <w:vAlign w:val="bottom"/>
          </w:tcPr>
          <w:p>
            <w:pPr>
              <w:jc w:val="right"/>
              <w:rPr>
                <w:rFonts w:cs="宋体" w:asciiTheme="minorEastAsia" w:hAnsiTheme="minorEastAsia" w:eastAsiaTheme="minorEastAsia"/>
                <w:color w:val="auto"/>
                <w:sz w:val="18"/>
                <w:szCs w:val="18"/>
              </w:rPr>
            </w:pPr>
          </w:p>
        </w:tc>
        <w:tc>
          <w:tcPr>
            <w:tcW w:w="1006"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vAlign w:val="bottom"/>
          </w:tcPr>
          <w:p>
            <w:pPr>
              <w:spacing w:line="276" w:lineRule="auto"/>
              <w:outlineLvl w:val="2"/>
              <w:rPr>
                <w:rFonts w:ascii="宋体" w:hAnsi="宋体" w:cs="Cambria"/>
                <w:color w:val="auto"/>
                <w:sz w:val="18"/>
                <w:szCs w:val="18"/>
              </w:rPr>
            </w:pPr>
            <w:r>
              <w:rPr>
                <w:rFonts w:hint="eastAsia" w:ascii="宋体" w:hAnsi="宋体" w:cs="Cambria"/>
                <w:color w:val="auto"/>
                <w:sz w:val="18"/>
                <w:szCs w:val="18"/>
              </w:rPr>
              <w:t>（三）其他权益工具投资</w:t>
            </w:r>
          </w:p>
        </w:tc>
        <w:tc>
          <w:tcPr>
            <w:tcW w:w="832" w:type="pct"/>
            <w:vAlign w:val="bottom"/>
          </w:tcPr>
          <w:p>
            <w:pPr>
              <w:jc w:val="right"/>
              <w:rPr>
                <w:rFonts w:cs="宋体" w:asciiTheme="majorEastAsia" w:hAnsiTheme="majorEastAsia" w:eastAsiaTheme="majorEastAsia"/>
                <w:color w:val="auto"/>
                <w:sz w:val="18"/>
                <w:szCs w:val="18"/>
              </w:rPr>
            </w:pPr>
          </w:p>
        </w:tc>
        <w:tc>
          <w:tcPr>
            <w:tcW w:w="858" w:type="pct"/>
            <w:vAlign w:val="bottom"/>
          </w:tcPr>
          <w:p>
            <w:pPr>
              <w:jc w:val="right"/>
              <w:rPr>
                <w:rFonts w:cs="宋体" w:asciiTheme="minorEastAsia" w:hAnsiTheme="minorEastAsia" w:eastAsiaTheme="minorEastAsia"/>
                <w:color w:val="auto"/>
                <w:sz w:val="18"/>
                <w:szCs w:val="18"/>
              </w:rPr>
            </w:pPr>
          </w:p>
        </w:tc>
        <w:tc>
          <w:tcPr>
            <w:tcW w:w="780" w:type="pct"/>
            <w:vAlign w:val="bottom"/>
          </w:tcPr>
          <w:p>
            <w:pPr>
              <w:jc w:val="right"/>
              <w:rPr>
                <w:rFonts w:cs="宋体" w:asciiTheme="minorEastAsia" w:hAnsiTheme="minorEastAsia" w:eastAsiaTheme="minorEastAsia"/>
                <w:color w:val="auto"/>
                <w:sz w:val="18"/>
                <w:szCs w:val="18"/>
              </w:rPr>
            </w:pPr>
          </w:p>
        </w:tc>
        <w:tc>
          <w:tcPr>
            <w:tcW w:w="1006"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vAlign w:val="bottom"/>
          </w:tcPr>
          <w:p>
            <w:pPr>
              <w:spacing w:line="276" w:lineRule="auto"/>
              <w:outlineLvl w:val="2"/>
              <w:rPr>
                <w:rFonts w:ascii="宋体" w:hAnsi="宋体" w:cs="Cambria"/>
                <w:color w:val="auto"/>
                <w:sz w:val="18"/>
                <w:szCs w:val="18"/>
              </w:rPr>
            </w:pPr>
            <w:r>
              <w:rPr>
                <w:rFonts w:hint="eastAsia" w:ascii="宋体" w:hAnsi="宋体" w:cs="Cambria"/>
                <w:color w:val="auto"/>
                <w:sz w:val="18"/>
                <w:szCs w:val="18"/>
              </w:rPr>
              <w:t>（四）应收款项融资</w:t>
            </w:r>
          </w:p>
        </w:tc>
        <w:tc>
          <w:tcPr>
            <w:tcW w:w="832" w:type="pct"/>
            <w:vAlign w:val="bottom"/>
          </w:tcPr>
          <w:p>
            <w:pPr>
              <w:jc w:val="right"/>
              <w:rPr>
                <w:rFonts w:asciiTheme="majorEastAsia" w:hAnsiTheme="majorEastAsia" w:eastAsiaTheme="majorEastAsia"/>
                <w:bCs/>
                <w:color w:val="auto"/>
                <w:sz w:val="18"/>
                <w:szCs w:val="18"/>
              </w:rPr>
            </w:pPr>
          </w:p>
        </w:tc>
        <w:tc>
          <w:tcPr>
            <w:tcW w:w="858" w:type="pct"/>
            <w:vAlign w:val="bottom"/>
          </w:tcPr>
          <w:p>
            <w:pPr>
              <w:jc w:val="right"/>
              <w:rPr>
                <w:rFonts w:cs="宋体" w:asciiTheme="minorEastAsia" w:hAnsiTheme="minorEastAsia" w:eastAsiaTheme="minorEastAsia"/>
                <w:bCs/>
                <w:color w:val="auto"/>
                <w:sz w:val="18"/>
                <w:szCs w:val="18"/>
              </w:rPr>
            </w:pPr>
          </w:p>
        </w:tc>
        <w:tc>
          <w:tcPr>
            <w:tcW w:w="780" w:type="pct"/>
            <w:vAlign w:val="bottom"/>
          </w:tcPr>
          <w:p>
            <w:pPr>
              <w:jc w:val="right"/>
              <w:rPr>
                <w:rFonts w:cs="宋体" w:asciiTheme="minorEastAsia" w:hAnsiTheme="minorEastAsia" w:eastAsiaTheme="minorEastAsia"/>
                <w:bCs/>
                <w:color w:val="auto"/>
                <w:sz w:val="18"/>
                <w:szCs w:val="18"/>
              </w:rPr>
            </w:pPr>
            <w:r>
              <w:rPr>
                <w:rFonts w:cs="宋体" w:asciiTheme="minorEastAsia" w:hAnsiTheme="minorEastAsia" w:eastAsiaTheme="minorEastAsia"/>
                <w:bCs/>
                <w:color w:val="auto"/>
                <w:sz w:val="18"/>
                <w:szCs w:val="18"/>
              </w:rPr>
              <w:t>130,000.00</w:t>
            </w:r>
          </w:p>
        </w:tc>
        <w:tc>
          <w:tcPr>
            <w:tcW w:w="1006"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130,000.00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vAlign w:val="bottom"/>
          </w:tcPr>
          <w:p>
            <w:pPr>
              <w:spacing w:line="276" w:lineRule="auto"/>
              <w:outlineLvl w:val="2"/>
              <w:rPr>
                <w:rFonts w:ascii="宋体" w:hAnsi="宋体" w:cs="Cambria"/>
                <w:b/>
                <w:color w:val="auto"/>
                <w:sz w:val="18"/>
                <w:szCs w:val="18"/>
              </w:rPr>
            </w:pPr>
            <w:r>
              <w:rPr>
                <w:rFonts w:hint="eastAsia" w:ascii="宋体" w:hAnsi="宋体" w:cs="Cambria"/>
                <w:b/>
                <w:color w:val="auto"/>
                <w:sz w:val="18"/>
                <w:szCs w:val="18"/>
              </w:rPr>
              <w:t>持续以公允价值计量的资产总额</w:t>
            </w:r>
          </w:p>
        </w:tc>
        <w:tc>
          <w:tcPr>
            <w:tcW w:w="832" w:type="pct"/>
            <w:vAlign w:val="bottom"/>
          </w:tcPr>
          <w:p>
            <w:pPr>
              <w:jc w:val="right"/>
              <w:rPr>
                <w:rFonts w:cs="宋体" w:asciiTheme="majorEastAsia" w:hAnsiTheme="majorEastAsia" w:eastAsiaTheme="majorEastAsia"/>
                <w:b/>
                <w:bCs/>
                <w:color w:val="auto"/>
                <w:sz w:val="18"/>
                <w:szCs w:val="18"/>
              </w:rPr>
            </w:pPr>
          </w:p>
        </w:tc>
        <w:tc>
          <w:tcPr>
            <w:tcW w:w="858" w:type="pct"/>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254,123,980.37</w:t>
            </w:r>
          </w:p>
        </w:tc>
        <w:tc>
          <w:tcPr>
            <w:tcW w:w="780" w:type="pct"/>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130,000.00</w:t>
            </w:r>
          </w:p>
        </w:tc>
        <w:tc>
          <w:tcPr>
            <w:tcW w:w="1006" w:type="pct"/>
            <w:vAlign w:val="bottom"/>
          </w:tcPr>
          <w:p>
            <w:pPr>
              <w:jc w:val="right"/>
              <w:rPr>
                <w:rFonts w:cs="宋体" w:asciiTheme="minorEastAsia" w:hAnsiTheme="minorEastAsia" w:eastAsiaTheme="minorEastAsia"/>
                <w:b/>
                <w:color w:val="auto"/>
                <w:sz w:val="18"/>
                <w:szCs w:val="18"/>
              </w:rPr>
            </w:pPr>
            <w:r>
              <w:rPr>
                <w:rFonts w:cs="宋体" w:asciiTheme="minorEastAsia" w:hAnsiTheme="minorEastAsia" w:eastAsiaTheme="minorEastAsia"/>
                <w:b/>
                <w:color w:val="auto"/>
                <w:sz w:val="18"/>
                <w:szCs w:val="18"/>
              </w:rPr>
              <w:t>254,253,980.37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vAlign w:val="bottom"/>
          </w:tcPr>
          <w:p>
            <w:pPr>
              <w:spacing w:line="276" w:lineRule="auto"/>
              <w:outlineLvl w:val="2"/>
              <w:rPr>
                <w:rFonts w:ascii="宋体" w:hAnsi="宋体" w:cs="Cambria"/>
                <w:color w:val="auto"/>
                <w:sz w:val="18"/>
                <w:szCs w:val="18"/>
              </w:rPr>
            </w:pPr>
            <w:r>
              <w:rPr>
                <w:rFonts w:hint="eastAsia" w:ascii="宋体" w:hAnsi="宋体" w:cs="Cambria"/>
                <w:color w:val="auto"/>
                <w:sz w:val="18"/>
                <w:szCs w:val="18"/>
              </w:rPr>
              <w:t>（一）交易性金融负债</w:t>
            </w:r>
          </w:p>
        </w:tc>
        <w:tc>
          <w:tcPr>
            <w:tcW w:w="832" w:type="pct"/>
            <w:vAlign w:val="bottom"/>
          </w:tcPr>
          <w:p>
            <w:pPr>
              <w:jc w:val="right"/>
              <w:rPr>
                <w:rFonts w:cs="宋体" w:asciiTheme="majorEastAsia" w:hAnsiTheme="majorEastAsia" w:eastAsiaTheme="majorEastAsia"/>
                <w:color w:val="auto"/>
                <w:sz w:val="18"/>
                <w:szCs w:val="18"/>
              </w:rPr>
            </w:pPr>
          </w:p>
        </w:tc>
        <w:tc>
          <w:tcPr>
            <w:tcW w:w="858" w:type="pct"/>
            <w:vAlign w:val="bottom"/>
          </w:tcPr>
          <w:p>
            <w:pPr>
              <w:autoSpaceDE w:val="0"/>
              <w:autoSpaceDN w:val="0"/>
              <w:adjustRightInd w:val="0"/>
              <w:jc w:val="right"/>
              <w:rPr>
                <w:rFonts w:ascii="宋体" w:hAnsi="宋体" w:cs="宋体"/>
                <w:color w:val="auto"/>
                <w:kern w:val="0"/>
                <w:sz w:val="18"/>
                <w:szCs w:val="18"/>
              </w:rPr>
            </w:pPr>
          </w:p>
        </w:tc>
        <w:tc>
          <w:tcPr>
            <w:tcW w:w="780" w:type="pct"/>
            <w:vAlign w:val="bottom"/>
          </w:tcPr>
          <w:p>
            <w:pPr>
              <w:autoSpaceDE w:val="0"/>
              <w:autoSpaceDN w:val="0"/>
              <w:adjustRightInd w:val="0"/>
              <w:jc w:val="right"/>
              <w:rPr>
                <w:rFonts w:ascii="宋体" w:hAnsi="宋体" w:cs="宋体"/>
                <w:color w:val="auto"/>
                <w:kern w:val="0"/>
                <w:sz w:val="18"/>
                <w:szCs w:val="18"/>
              </w:rPr>
            </w:pPr>
          </w:p>
        </w:tc>
        <w:tc>
          <w:tcPr>
            <w:tcW w:w="1006" w:type="pct"/>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vAlign w:val="bottom"/>
          </w:tcPr>
          <w:p>
            <w:pPr>
              <w:spacing w:line="276" w:lineRule="auto"/>
              <w:outlineLvl w:val="2"/>
              <w:rPr>
                <w:rFonts w:ascii="宋体" w:hAnsi="宋体" w:cs="Cambria"/>
                <w:color w:val="auto"/>
                <w:sz w:val="18"/>
                <w:szCs w:val="18"/>
              </w:rPr>
            </w:pPr>
            <w:r>
              <w:rPr>
                <w:rFonts w:ascii="宋体" w:hAnsi="宋体" w:cs="Cambria"/>
                <w:color w:val="auto"/>
                <w:sz w:val="18"/>
                <w:szCs w:val="18"/>
              </w:rPr>
              <w:t>1.发行的交易性债券</w:t>
            </w:r>
          </w:p>
        </w:tc>
        <w:tc>
          <w:tcPr>
            <w:tcW w:w="832" w:type="pct"/>
            <w:vAlign w:val="bottom"/>
          </w:tcPr>
          <w:p>
            <w:pPr>
              <w:jc w:val="right"/>
              <w:rPr>
                <w:rFonts w:cs="宋体" w:asciiTheme="majorEastAsia" w:hAnsiTheme="majorEastAsia" w:eastAsiaTheme="majorEastAsia"/>
                <w:color w:val="auto"/>
                <w:sz w:val="18"/>
                <w:szCs w:val="18"/>
              </w:rPr>
            </w:pPr>
          </w:p>
        </w:tc>
        <w:tc>
          <w:tcPr>
            <w:tcW w:w="858" w:type="pct"/>
            <w:vAlign w:val="bottom"/>
          </w:tcPr>
          <w:p>
            <w:pPr>
              <w:autoSpaceDE w:val="0"/>
              <w:autoSpaceDN w:val="0"/>
              <w:adjustRightInd w:val="0"/>
              <w:jc w:val="right"/>
              <w:rPr>
                <w:rFonts w:ascii="宋体" w:hAnsi="宋体" w:cs="宋体"/>
                <w:color w:val="auto"/>
                <w:kern w:val="0"/>
                <w:sz w:val="18"/>
                <w:szCs w:val="18"/>
              </w:rPr>
            </w:pPr>
          </w:p>
        </w:tc>
        <w:tc>
          <w:tcPr>
            <w:tcW w:w="780" w:type="pct"/>
            <w:vAlign w:val="bottom"/>
          </w:tcPr>
          <w:p>
            <w:pPr>
              <w:autoSpaceDE w:val="0"/>
              <w:autoSpaceDN w:val="0"/>
              <w:adjustRightInd w:val="0"/>
              <w:jc w:val="right"/>
              <w:rPr>
                <w:rFonts w:ascii="宋体" w:hAnsi="宋体" w:cs="宋体"/>
                <w:color w:val="auto"/>
                <w:kern w:val="0"/>
                <w:sz w:val="18"/>
                <w:szCs w:val="18"/>
              </w:rPr>
            </w:pPr>
          </w:p>
        </w:tc>
        <w:tc>
          <w:tcPr>
            <w:tcW w:w="1006" w:type="pct"/>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vAlign w:val="bottom"/>
          </w:tcPr>
          <w:p>
            <w:pPr>
              <w:spacing w:line="276" w:lineRule="auto"/>
              <w:outlineLvl w:val="2"/>
              <w:rPr>
                <w:rFonts w:ascii="宋体" w:hAnsi="宋体" w:cs="Cambria"/>
                <w:color w:val="auto"/>
                <w:sz w:val="18"/>
                <w:szCs w:val="18"/>
              </w:rPr>
            </w:pPr>
            <w:r>
              <w:rPr>
                <w:rFonts w:ascii="宋体" w:hAnsi="宋体" w:cs="Cambria"/>
                <w:color w:val="auto"/>
                <w:sz w:val="18"/>
                <w:szCs w:val="18"/>
              </w:rPr>
              <w:t>2.衍生金融负债</w:t>
            </w:r>
          </w:p>
        </w:tc>
        <w:tc>
          <w:tcPr>
            <w:tcW w:w="832" w:type="pct"/>
            <w:vAlign w:val="bottom"/>
          </w:tcPr>
          <w:p>
            <w:pPr>
              <w:jc w:val="right"/>
              <w:rPr>
                <w:rFonts w:cs="宋体" w:asciiTheme="majorEastAsia" w:hAnsiTheme="majorEastAsia" w:eastAsiaTheme="majorEastAsia"/>
                <w:color w:val="auto"/>
                <w:sz w:val="18"/>
                <w:szCs w:val="18"/>
              </w:rPr>
            </w:pPr>
          </w:p>
        </w:tc>
        <w:tc>
          <w:tcPr>
            <w:tcW w:w="858" w:type="pct"/>
            <w:vAlign w:val="bottom"/>
          </w:tcPr>
          <w:p>
            <w:pPr>
              <w:autoSpaceDE w:val="0"/>
              <w:autoSpaceDN w:val="0"/>
              <w:adjustRightInd w:val="0"/>
              <w:jc w:val="right"/>
              <w:rPr>
                <w:rFonts w:ascii="宋体" w:hAnsi="宋体" w:cs="宋体"/>
                <w:color w:val="auto"/>
                <w:kern w:val="0"/>
                <w:sz w:val="18"/>
                <w:szCs w:val="18"/>
              </w:rPr>
            </w:pPr>
          </w:p>
        </w:tc>
        <w:tc>
          <w:tcPr>
            <w:tcW w:w="780" w:type="pct"/>
            <w:vAlign w:val="bottom"/>
          </w:tcPr>
          <w:p>
            <w:pPr>
              <w:autoSpaceDE w:val="0"/>
              <w:autoSpaceDN w:val="0"/>
              <w:adjustRightInd w:val="0"/>
              <w:jc w:val="right"/>
              <w:rPr>
                <w:rFonts w:ascii="宋体" w:hAnsi="宋体" w:cs="宋体"/>
                <w:color w:val="auto"/>
                <w:kern w:val="0"/>
                <w:sz w:val="18"/>
                <w:szCs w:val="18"/>
              </w:rPr>
            </w:pPr>
          </w:p>
        </w:tc>
        <w:tc>
          <w:tcPr>
            <w:tcW w:w="1006" w:type="pct"/>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vAlign w:val="bottom"/>
          </w:tcPr>
          <w:p>
            <w:pPr>
              <w:pStyle w:val="17"/>
              <w:keepNext w:val="0"/>
              <w:tabs>
                <w:tab w:val="left" w:pos="432"/>
                <w:tab w:val="center" w:pos="5630"/>
                <w:tab w:val="center" w:pos="7430"/>
              </w:tabs>
              <w:spacing w:before="0" w:after="0" w:line="276" w:lineRule="auto"/>
              <w:jc w:val="both"/>
              <w:rPr>
                <w:rFonts w:ascii="宋体" w:hAnsi="宋体" w:cs="Cambria"/>
                <w:color w:val="auto"/>
                <w:sz w:val="18"/>
                <w:szCs w:val="18"/>
              </w:rPr>
            </w:pPr>
            <w:r>
              <w:rPr>
                <w:rFonts w:hint="eastAsia" w:ascii="宋体" w:hAnsi="宋体" w:cs="Cambria"/>
                <w:color w:val="auto"/>
                <w:sz w:val="18"/>
                <w:szCs w:val="18"/>
              </w:rPr>
              <w:t>（二）指定为以公允价值计量且其变动计入当期损益的金融负债</w:t>
            </w:r>
          </w:p>
        </w:tc>
        <w:tc>
          <w:tcPr>
            <w:tcW w:w="832" w:type="pct"/>
            <w:vAlign w:val="bottom"/>
          </w:tcPr>
          <w:p>
            <w:pPr>
              <w:jc w:val="right"/>
              <w:rPr>
                <w:rFonts w:cs="宋体" w:asciiTheme="majorEastAsia" w:hAnsiTheme="majorEastAsia" w:eastAsiaTheme="majorEastAsia"/>
                <w:color w:val="auto"/>
                <w:sz w:val="18"/>
                <w:szCs w:val="18"/>
              </w:rPr>
            </w:pPr>
          </w:p>
        </w:tc>
        <w:tc>
          <w:tcPr>
            <w:tcW w:w="858" w:type="pct"/>
            <w:vAlign w:val="bottom"/>
          </w:tcPr>
          <w:p>
            <w:pPr>
              <w:autoSpaceDE w:val="0"/>
              <w:autoSpaceDN w:val="0"/>
              <w:adjustRightInd w:val="0"/>
              <w:jc w:val="right"/>
              <w:rPr>
                <w:rFonts w:ascii="宋体" w:hAnsi="宋体" w:cs="宋体"/>
                <w:color w:val="auto"/>
                <w:kern w:val="0"/>
                <w:sz w:val="18"/>
                <w:szCs w:val="18"/>
              </w:rPr>
            </w:pPr>
          </w:p>
        </w:tc>
        <w:tc>
          <w:tcPr>
            <w:tcW w:w="780" w:type="pct"/>
            <w:vAlign w:val="bottom"/>
          </w:tcPr>
          <w:p>
            <w:pPr>
              <w:autoSpaceDE w:val="0"/>
              <w:autoSpaceDN w:val="0"/>
              <w:adjustRightInd w:val="0"/>
              <w:jc w:val="right"/>
              <w:rPr>
                <w:rFonts w:ascii="宋体" w:hAnsi="宋体" w:cs="宋体"/>
                <w:color w:val="auto"/>
                <w:kern w:val="0"/>
                <w:sz w:val="18"/>
                <w:szCs w:val="18"/>
              </w:rPr>
            </w:pPr>
          </w:p>
        </w:tc>
        <w:tc>
          <w:tcPr>
            <w:tcW w:w="1006" w:type="pct"/>
            <w:vAlign w:val="bottom"/>
          </w:tcPr>
          <w:p>
            <w:pPr>
              <w:autoSpaceDE w:val="0"/>
              <w:autoSpaceDN w:val="0"/>
              <w:adjustRightInd w:val="0"/>
              <w:jc w:val="right"/>
              <w:rPr>
                <w:rFonts w:ascii="宋体" w:hAnsi="宋体" w:cs="宋体"/>
                <w:color w:val="auto"/>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4" w:type="pct"/>
            <w:tcBorders>
              <w:bottom w:val="single" w:color="auto" w:sz="12" w:space="0"/>
            </w:tcBorders>
            <w:vAlign w:val="bottom"/>
          </w:tcPr>
          <w:p>
            <w:pPr>
              <w:spacing w:line="276" w:lineRule="auto"/>
              <w:outlineLvl w:val="2"/>
              <w:rPr>
                <w:rFonts w:ascii="宋体" w:hAnsi="宋体" w:cs="Cambria"/>
                <w:b/>
                <w:color w:val="auto"/>
                <w:sz w:val="18"/>
                <w:szCs w:val="18"/>
              </w:rPr>
            </w:pPr>
            <w:r>
              <w:rPr>
                <w:rFonts w:hint="eastAsia" w:ascii="宋体" w:hAnsi="宋体" w:cs="Cambria"/>
                <w:b/>
                <w:color w:val="auto"/>
                <w:sz w:val="18"/>
                <w:szCs w:val="18"/>
              </w:rPr>
              <w:t>持续以公允价值计量的负债总额</w:t>
            </w:r>
          </w:p>
        </w:tc>
        <w:tc>
          <w:tcPr>
            <w:tcW w:w="832" w:type="pct"/>
            <w:tcBorders>
              <w:bottom w:val="single" w:color="auto" w:sz="12" w:space="0"/>
            </w:tcBorders>
            <w:vAlign w:val="bottom"/>
          </w:tcPr>
          <w:p>
            <w:pPr>
              <w:jc w:val="right"/>
              <w:rPr>
                <w:rFonts w:cs="宋体" w:asciiTheme="majorEastAsia" w:hAnsiTheme="majorEastAsia" w:eastAsiaTheme="majorEastAsia"/>
                <w:b/>
                <w:bCs/>
                <w:color w:val="auto"/>
                <w:sz w:val="18"/>
                <w:szCs w:val="18"/>
              </w:rPr>
            </w:pPr>
          </w:p>
        </w:tc>
        <w:tc>
          <w:tcPr>
            <w:tcW w:w="858" w:type="pct"/>
            <w:tcBorders>
              <w:bottom w:val="single" w:color="auto" w:sz="12" w:space="0"/>
            </w:tcBorders>
            <w:vAlign w:val="bottom"/>
          </w:tcPr>
          <w:p>
            <w:pPr>
              <w:autoSpaceDE w:val="0"/>
              <w:autoSpaceDN w:val="0"/>
              <w:adjustRightInd w:val="0"/>
              <w:jc w:val="right"/>
              <w:rPr>
                <w:rFonts w:ascii="宋体" w:hAnsi="宋体" w:cs="宋体"/>
                <w:b/>
                <w:bCs/>
                <w:color w:val="auto"/>
                <w:kern w:val="0"/>
                <w:sz w:val="18"/>
                <w:szCs w:val="18"/>
              </w:rPr>
            </w:pPr>
          </w:p>
        </w:tc>
        <w:tc>
          <w:tcPr>
            <w:tcW w:w="780" w:type="pct"/>
            <w:tcBorders>
              <w:bottom w:val="single" w:color="auto" w:sz="12" w:space="0"/>
            </w:tcBorders>
            <w:vAlign w:val="bottom"/>
          </w:tcPr>
          <w:p>
            <w:pPr>
              <w:autoSpaceDE w:val="0"/>
              <w:autoSpaceDN w:val="0"/>
              <w:adjustRightInd w:val="0"/>
              <w:jc w:val="right"/>
              <w:rPr>
                <w:rFonts w:ascii="宋体" w:hAnsi="宋体" w:cs="宋体"/>
                <w:b/>
                <w:bCs/>
                <w:color w:val="auto"/>
                <w:kern w:val="0"/>
                <w:sz w:val="18"/>
                <w:szCs w:val="18"/>
              </w:rPr>
            </w:pPr>
          </w:p>
        </w:tc>
        <w:tc>
          <w:tcPr>
            <w:tcW w:w="1006" w:type="pct"/>
            <w:tcBorders>
              <w:bottom w:val="single" w:color="auto" w:sz="12" w:space="0"/>
            </w:tcBorders>
            <w:vAlign w:val="bottom"/>
          </w:tcPr>
          <w:p>
            <w:pPr>
              <w:autoSpaceDE w:val="0"/>
              <w:autoSpaceDN w:val="0"/>
              <w:adjustRightInd w:val="0"/>
              <w:jc w:val="right"/>
              <w:rPr>
                <w:rFonts w:ascii="宋体" w:hAnsi="宋体" w:cs="宋体"/>
                <w:b/>
                <w:bCs/>
                <w:color w:val="auto"/>
                <w:kern w:val="0"/>
                <w:sz w:val="18"/>
                <w:szCs w:val="18"/>
              </w:rPr>
            </w:pPr>
          </w:p>
        </w:tc>
      </w:tr>
    </w:tbl>
    <w:p>
      <w:pPr>
        <w:pStyle w:val="5"/>
        <w:spacing w:before="150" w:beforeLines="50" w:after="150" w:afterLines="50" w:line="360" w:lineRule="auto"/>
        <w:ind w:firstLine="420" w:firstLineChars="200"/>
        <w:outlineLvl w:val="1"/>
        <w:rPr>
          <w:rFonts w:ascii="宋体" w:hAnsi="宋体" w:eastAsia="宋体"/>
          <w:b/>
          <w:color w:val="auto"/>
          <w:szCs w:val="21"/>
        </w:rPr>
      </w:pPr>
      <w:r>
        <w:rPr>
          <w:rFonts w:hint="eastAsia" w:ascii="宋体" w:hAnsi="宋体" w:eastAsia="宋体"/>
          <w:b/>
          <w:color w:val="auto"/>
          <w:szCs w:val="21"/>
        </w:rPr>
        <w:t>2、持续和非持续第一层次公允价值计量项目市价的确定依据</w:t>
      </w:r>
    </w:p>
    <w:p>
      <w:pPr>
        <w:spacing w:before="150" w:beforeLines="50" w:line="460" w:lineRule="exact"/>
        <w:ind w:firstLine="420" w:firstLineChars="200"/>
        <w:rPr>
          <w:rFonts w:ascii="宋体" w:hAnsi="宋体"/>
          <w:color w:val="auto"/>
        </w:rPr>
      </w:pPr>
      <w:r>
        <w:rPr>
          <w:rFonts w:hint="eastAsia" w:ascii="宋体" w:hAnsi="宋体"/>
          <w:color w:val="auto"/>
        </w:rPr>
        <w:t>相同资产或负债在活跃市场上未经调整的报价。</w:t>
      </w:r>
    </w:p>
    <w:p>
      <w:pPr>
        <w:pStyle w:val="5"/>
        <w:spacing w:before="150" w:beforeLines="50" w:after="150" w:afterLines="50" w:line="360" w:lineRule="auto"/>
        <w:ind w:firstLine="420" w:firstLineChars="200"/>
        <w:outlineLvl w:val="1"/>
        <w:rPr>
          <w:rFonts w:ascii="宋体" w:hAnsi="宋体" w:eastAsia="宋体"/>
          <w:b/>
          <w:color w:val="auto"/>
          <w:szCs w:val="21"/>
        </w:rPr>
      </w:pPr>
      <w:r>
        <w:rPr>
          <w:rFonts w:hint="eastAsia" w:ascii="宋体" w:hAnsi="宋体" w:eastAsia="宋体"/>
          <w:b/>
          <w:color w:val="auto"/>
          <w:szCs w:val="21"/>
        </w:rPr>
        <w:t>3、持续和非持续第二层次公允价值计量项目，采用的估值技术和重要参数的定性及定量信息</w:t>
      </w:r>
    </w:p>
    <w:p>
      <w:pPr>
        <w:spacing w:before="150" w:beforeLines="50" w:line="460" w:lineRule="exact"/>
        <w:ind w:firstLine="420" w:firstLineChars="200"/>
        <w:rPr>
          <w:rFonts w:ascii="宋体" w:hAnsi="宋体"/>
          <w:color w:val="auto"/>
        </w:rPr>
      </w:pPr>
      <w:r>
        <w:rPr>
          <w:rFonts w:hint="eastAsia" w:ascii="宋体" w:hAnsi="宋体"/>
          <w:color w:val="auto"/>
        </w:rPr>
        <w:t>除第一层次输入值外相关资产或负债直接或间接可观察的输入值。</w:t>
      </w:r>
    </w:p>
    <w:p>
      <w:pPr>
        <w:pStyle w:val="5"/>
        <w:spacing w:before="150" w:beforeLines="50" w:after="150" w:afterLines="50" w:line="360" w:lineRule="auto"/>
        <w:ind w:firstLine="420" w:firstLineChars="200"/>
        <w:outlineLvl w:val="1"/>
        <w:rPr>
          <w:rFonts w:ascii="宋体" w:hAnsi="宋体" w:eastAsia="宋体"/>
          <w:b/>
          <w:color w:val="auto"/>
          <w:szCs w:val="21"/>
        </w:rPr>
      </w:pPr>
      <w:r>
        <w:rPr>
          <w:rFonts w:hint="eastAsia" w:ascii="宋体" w:hAnsi="宋体" w:eastAsia="宋体"/>
          <w:b/>
          <w:color w:val="auto"/>
          <w:szCs w:val="21"/>
        </w:rPr>
        <w:t>4、持续和非持续第三层次公允价值计量项目，采用的估值技术和重要参数的定性及定量信息</w:t>
      </w:r>
    </w:p>
    <w:p>
      <w:pPr>
        <w:spacing w:before="150" w:beforeLines="50" w:line="460" w:lineRule="exact"/>
        <w:ind w:firstLine="420" w:firstLineChars="200"/>
        <w:rPr>
          <w:rFonts w:ascii="宋体" w:hAnsi="宋体"/>
          <w:color w:val="auto"/>
        </w:rPr>
      </w:pPr>
      <w:r>
        <w:rPr>
          <w:rFonts w:hint="eastAsia" w:ascii="宋体" w:hAnsi="宋体"/>
          <w:color w:val="auto"/>
        </w:rPr>
        <w:t>采用第三层次公允价值计量的资产系公司持有的应收款项融资，</w:t>
      </w:r>
      <w:r>
        <w:rPr>
          <w:color w:val="auto"/>
        </w:rPr>
        <w:t>其剩余期限较短，账面价值与公允价值相近</w:t>
      </w:r>
      <w:r>
        <w:rPr>
          <w:rFonts w:hint="eastAsia" w:ascii="宋体" w:hAnsi="宋体"/>
          <w:color w:val="auto"/>
        </w:rPr>
        <w:t>。</w:t>
      </w:r>
    </w:p>
    <w:p>
      <w:pPr>
        <w:spacing w:before="150" w:beforeLines="50" w:after="150" w:afterLines="50" w:line="360" w:lineRule="auto"/>
        <w:ind w:firstLine="480" w:firstLineChars="200"/>
        <w:outlineLvl w:val="0"/>
        <w:rPr>
          <w:rFonts w:cs="Arial" w:asciiTheme="minorEastAsia" w:hAnsiTheme="minorEastAsia" w:eastAsiaTheme="minorEastAsia"/>
          <w:b/>
          <w:bCs/>
          <w:color w:val="auto"/>
          <w:sz w:val="24"/>
          <w:szCs w:val="24"/>
        </w:rPr>
      </w:pPr>
      <w:r>
        <w:rPr>
          <w:rFonts w:hint="eastAsia" w:cs="Arial" w:asciiTheme="minorEastAsia" w:hAnsiTheme="minorEastAsia" w:eastAsiaTheme="minorEastAsia"/>
          <w:b/>
          <w:bCs/>
          <w:color w:val="auto"/>
          <w:sz w:val="24"/>
          <w:szCs w:val="24"/>
        </w:rPr>
        <w:t>十、关联方及关联方交易</w:t>
      </w:r>
    </w:p>
    <w:p>
      <w:pPr>
        <w:spacing w:before="150" w:beforeLines="50" w:after="150" w:afterLines="50" w:line="360" w:lineRule="auto"/>
        <w:ind w:right="170" w:firstLine="482"/>
        <w:rPr>
          <w:rFonts w:ascii="宋体" w:hAnsi="宋体" w:cs="宋体"/>
          <w:b/>
          <w:bCs/>
          <w:snapToGrid w:val="0"/>
          <w:color w:val="auto"/>
          <w:kern w:val="0"/>
        </w:rPr>
      </w:pPr>
      <w:r>
        <w:rPr>
          <w:rFonts w:hint="eastAsia" w:ascii="宋体" w:hAnsi="宋体" w:cs="宋体"/>
          <w:b/>
          <w:bCs/>
          <w:snapToGrid w:val="0"/>
          <w:color w:val="auto"/>
          <w:kern w:val="0"/>
        </w:rPr>
        <w:t>（一）本公司实际控制人</w:t>
      </w:r>
    </w:p>
    <w:tbl>
      <w:tblPr>
        <w:tblStyle w:val="9"/>
        <w:tblW w:w="8931" w:type="dxa"/>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2260"/>
        <w:gridCol w:w="2535"/>
        <w:gridCol w:w="19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1" w:type="dxa"/>
            <w:tcBorders>
              <w:top w:val="single" w:color="auto" w:sz="12" w:space="0"/>
              <w:bottom w:val="single" w:color="auto" w:sz="12" w:space="0"/>
            </w:tcBorders>
            <w:shd w:val="clear" w:color="auto" w:fill="auto"/>
            <w:vAlign w:val="center"/>
          </w:tcPr>
          <w:p>
            <w:pPr>
              <w:pStyle w:val="14"/>
              <w:jc w:val="center"/>
              <w:rPr>
                <w:rFonts w:ascii="宋体" w:hAnsi="宋体" w:eastAsia="宋体"/>
                <w:b/>
                <w:color w:val="auto"/>
                <w:sz w:val="18"/>
                <w:szCs w:val="18"/>
              </w:rPr>
            </w:pPr>
            <w:r>
              <w:rPr>
                <w:rFonts w:hint="eastAsia" w:ascii="宋体" w:hAnsi="宋体" w:eastAsia="宋体"/>
                <w:b/>
                <w:color w:val="auto"/>
                <w:sz w:val="18"/>
                <w:szCs w:val="18"/>
              </w:rPr>
              <w:t>本公司实际控制人</w:t>
            </w:r>
          </w:p>
        </w:tc>
        <w:tc>
          <w:tcPr>
            <w:tcW w:w="2260" w:type="dxa"/>
            <w:tcBorders>
              <w:top w:val="single" w:color="auto" w:sz="12" w:space="0"/>
              <w:bottom w:val="single" w:color="auto" w:sz="12" w:space="0"/>
            </w:tcBorders>
            <w:shd w:val="clear" w:color="auto" w:fill="auto"/>
            <w:vAlign w:val="center"/>
          </w:tcPr>
          <w:p>
            <w:pPr>
              <w:pStyle w:val="14"/>
              <w:jc w:val="center"/>
              <w:rPr>
                <w:rFonts w:ascii="宋体" w:hAnsi="宋体" w:eastAsia="宋体"/>
                <w:b/>
                <w:color w:val="auto"/>
                <w:sz w:val="18"/>
                <w:szCs w:val="18"/>
              </w:rPr>
            </w:pPr>
            <w:r>
              <w:rPr>
                <w:rFonts w:hint="eastAsia" w:ascii="宋体" w:hAnsi="宋体" w:eastAsia="宋体"/>
                <w:b/>
                <w:color w:val="auto"/>
                <w:sz w:val="18"/>
                <w:szCs w:val="18"/>
              </w:rPr>
              <w:t>对本公司的持股比例（</w:t>
            </w:r>
            <w:r>
              <w:rPr>
                <w:rFonts w:ascii="宋体" w:hAnsi="宋体" w:eastAsia="宋体"/>
                <w:b/>
                <w:color w:val="auto"/>
                <w:sz w:val="18"/>
                <w:szCs w:val="18"/>
              </w:rPr>
              <w:t>%）</w:t>
            </w:r>
          </w:p>
        </w:tc>
        <w:tc>
          <w:tcPr>
            <w:tcW w:w="2535" w:type="dxa"/>
            <w:tcBorders>
              <w:top w:val="single" w:color="auto" w:sz="12" w:space="0"/>
              <w:bottom w:val="single" w:color="auto" w:sz="12" w:space="0"/>
            </w:tcBorders>
            <w:shd w:val="clear" w:color="auto" w:fill="auto"/>
            <w:vAlign w:val="center"/>
          </w:tcPr>
          <w:p>
            <w:pPr>
              <w:pStyle w:val="14"/>
              <w:jc w:val="center"/>
              <w:rPr>
                <w:rFonts w:ascii="宋体" w:hAnsi="宋体" w:eastAsia="宋体"/>
                <w:b/>
                <w:color w:val="auto"/>
                <w:sz w:val="18"/>
                <w:szCs w:val="18"/>
              </w:rPr>
            </w:pPr>
            <w:r>
              <w:rPr>
                <w:rFonts w:hint="eastAsia" w:ascii="宋体" w:hAnsi="宋体" w:eastAsia="宋体"/>
                <w:b/>
                <w:color w:val="auto"/>
                <w:sz w:val="18"/>
                <w:szCs w:val="18"/>
              </w:rPr>
              <w:t>对本公司的表决权比例（</w:t>
            </w:r>
            <w:r>
              <w:rPr>
                <w:rFonts w:ascii="宋体" w:hAnsi="宋体" w:eastAsia="宋体"/>
                <w:b/>
                <w:color w:val="auto"/>
                <w:sz w:val="18"/>
                <w:szCs w:val="18"/>
              </w:rPr>
              <w:t>%）</w:t>
            </w:r>
          </w:p>
        </w:tc>
        <w:tc>
          <w:tcPr>
            <w:tcW w:w="1985" w:type="dxa"/>
            <w:tcBorders>
              <w:top w:val="single" w:color="auto" w:sz="12" w:space="0"/>
              <w:bottom w:val="single" w:color="auto" w:sz="12" w:space="0"/>
            </w:tcBorders>
            <w:shd w:val="clear" w:color="auto" w:fill="auto"/>
            <w:vAlign w:val="center"/>
          </w:tcPr>
          <w:p>
            <w:pPr>
              <w:pStyle w:val="14"/>
              <w:jc w:val="center"/>
              <w:rPr>
                <w:rFonts w:ascii="宋体" w:hAnsi="宋体" w:eastAsia="宋体"/>
                <w:b/>
                <w:color w:val="auto"/>
                <w:sz w:val="18"/>
                <w:szCs w:val="18"/>
              </w:rPr>
            </w:pPr>
            <w:r>
              <w:rPr>
                <w:rFonts w:hint="eastAsia" w:ascii="宋体" w:hAnsi="宋体" w:eastAsia="宋体"/>
                <w:b/>
                <w:color w:val="auto"/>
                <w:sz w:val="18"/>
                <w:szCs w:val="18"/>
              </w:rPr>
              <w:t>本公司最终控制方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1" w:type="dxa"/>
            <w:tcBorders>
              <w:top w:val="single" w:color="auto" w:sz="12" w:space="0"/>
            </w:tcBorders>
            <w:shd w:val="clear" w:color="auto" w:fill="auto"/>
            <w:vAlign w:val="bottom"/>
          </w:tcPr>
          <w:p>
            <w:pPr>
              <w:jc w:val="left"/>
              <w:rPr>
                <w:rFonts w:ascii="宋体" w:hAnsi="宋体" w:cs="宋体"/>
                <w:b/>
                <w:color w:val="auto"/>
                <w:sz w:val="18"/>
                <w:szCs w:val="18"/>
              </w:rPr>
            </w:pPr>
            <w:r>
              <w:rPr>
                <w:rFonts w:hint="eastAsia" w:ascii="宋体" w:hAnsi="宋体" w:cs="宋体"/>
                <w:color w:val="auto"/>
                <w:sz w:val="18"/>
                <w:szCs w:val="18"/>
              </w:rPr>
              <w:t>范庆伟家族</w:t>
            </w:r>
          </w:p>
        </w:tc>
        <w:tc>
          <w:tcPr>
            <w:tcW w:w="2260" w:type="dxa"/>
            <w:tcBorders>
              <w:top w:val="single" w:color="auto" w:sz="12" w:space="0"/>
            </w:tcBorders>
            <w:shd w:val="clear" w:color="auto" w:fill="auto"/>
            <w:vAlign w:val="bottom"/>
          </w:tcPr>
          <w:p>
            <w:pPr>
              <w:jc w:val="right"/>
              <w:rPr>
                <w:rFonts w:ascii="宋体" w:hAnsi="宋体" w:cs="宋体"/>
                <w:color w:val="auto"/>
                <w:sz w:val="18"/>
                <w:szCs w:val="18"/>
              </w:rPr>
            </w:pPr>
            <w:r>
              <w:rPr>
                <w:rFonts w:ascii="宋体" w:hAnsi="宋体" w:cs="宋体"/>
                <w:snapToGrid w:val="0"/>
                <w:color w:val="auto"/>
                <w:kern w:val="0"/>
                <w:sz w:val="18"/>
                <w:szCs w:val="18"/>
              </w:rPr>
              <w:t>63.34</w:t>
            </w:r>
          </w:p>
        </w:tc>
        <w:tc>
          <w:tcPr>
            <w:tcW w:w="2535" w:type="dxa"/>
            <w:tcBorders>
              <w:top w:val="single" w:color="auto" w:sz="12" w:space="0"/>
            </w:tcBorders>
            <w:shd w:val="clear" w:color="auto" w:fill="auto"/>
            <w:vAlign w:val="bottom"/>
          </w:tcPr>
          <w:p>
            <w:pPr>
              <w:jc w:val="right"/>
              <w:rPr>
                <w:rFonts w:ascii="宋体" w:hAnsi="宋体" w:cs="宋体"/>
                <w:color w:val="auto"/>
                <w:sz w:val="18"/>
                <w:szCs w:val="18"/>
              </w:rPr>
            </w:pPr>
            <w:r>
              <w:rPr>
                <w:rFonts w:ascii="宋体" w:hAnsi="宋体" w:cs="宋体"/>
                <w:snapToGrid w:val="0"/>
                <w:color w:val="auto"/>
                <w:kern w:val="0"/>
                <w:sz w:val="18"/>
                <w:szCs w:val="18"/>
              </w:rPr>
              <w:t>63.34</w:t>
            </w:r>
          </w:p>
        </w:tc>
        <w:tc>
          <w:tcPr>
            <w:tcW w:w="1985" w:type="dxa"/>
            <w:tcBorders>
              <w:top w:val="single" w:color="auto" w:sz="12" w:space="0"/>
            </w:tcBorders>
            <w:shd w:val="clear" w:color="auto" w:fill="auto"/>
            <w:vAlign w:val="bottom"/>
          </w:tcPr>
          <w:p>
            <w:pPr>
              <w:jc w:val="center"/>
              <w:rPr>
                <w:rFonts w:ascii="宋体" w:hAnsi="宋体" w:cs="宋体"/>
                <w:b/>
                <w:color w:val="auto"/>
                <w:sz w:val="18"/>
                <w:szCs w:val="18"/>
              </w:rPr>
            </w:pPr>
            <w:r>
              <w:rPr>
                <w:rFonts w:hint="eastAsia" w:ascii="宋体" w:hAnsi="宋体" w:cs="宋体"/>
                <w:color w:val="auto"/>
                <w:sz w:val="18"/>
                <w:szCs w:val="18"/>
              </w:rPr>
              <w:t>范庆伟家族</w:t>
            </w:r>
          </w:p>
        </w:tc>
      </w:tr>
    </w:tbl>
    <w:p>
      <w:pPr>
        <w:spacing w:before="150" w:beforeLines="50" w:after="150" w:afterLines="50" w:line="360" w:lineRule="auto"/>
        <w:ind w:right="170" w:firstLine="482"/>
        <w:rPr>
          <w:rFonts w:ascii="宋体" w:hAnsi="宋体" w:cs="宋体"/>
          <w:b/>
          <w:bCs/>
          <w:snapToGrid w:val="0"/>
          <w:color w:val="auto"/>
          <w:kern w:val="0"/>
        </w:rPr>
      </w:pPr>
      <w:r>
        <w:rPr>
          <w:rFonts w:hint="eastAsia" w:ascii="宋体" w:hAnsi="宋体" w:cs="宋体"/>
          <w:b/>
          <w:bCs/>
          <w:snapToGrid w:val="0"/>
          <w:color w:val="auto"/>
          <w:kern w:val="0"/>
        </w:rPr>
        <w:t>（二）子公司情况</w:t>
      </w:r>
    </w:p>
    <w:p>
      <w:pPr>
        <w:pStyle w:val="4"/>
        <w:snapToGrid w:val="0"/>
        <w:spacing w:line="360" w:lineRule="auto"/>
        <w:ind w:firstLine="420" w:firstLineChars="200"/>
        <w:rPr>
          <w:rFonts w:hAnsi="宋体"/>
          <w:bCs/>
          <w:color w:val="auto"/>
        </w:rPr>
      </w:pPr>
      <w:r>
        <w:rPr>
          <w:rFonts w:hint="eastAsia" w:hAnsi="宋体"/>
          <w:bCs/>
          <w:color w:val="auto"/>
        </w:rPr>
        <w:t>本公司子公司的情况详见附注七、1。</w:t>
      </w:r>
    </w:p>
    <w:p>
      <w:pPr>
        <w:spacing w:before="150" w:beforeLines="50" w:after="150" w:afterLines="50" w:line="360" w:lineRule="auto"/>
        <w:ind w:firstLine="420" w:firstLineChars="200"/>
        <w:jc w:val="left"/>
        <w:rPr>
          <w:rFonts w:ascii="宋体" w:hAnsi="宋体"/>
          <w:b/>
          <w:color w:val="auto"/>
          <w:szCs w:val="21"/>
        </w:rPr>
      </w:pPr>
      <w:r>
        <w:rPr>
          <w:rFonts w:hint="eastAsia" w:ascii="宋体" w:hAnsi="宋体"/>
          <w:b/>
          <w:color w:val="auto"/>
          <w:szCs w:val="21"/>
        </w:rPr>
        <w:t>（三）本公司的其他关联方情况</w:t>
      </w:r>
    </w:p>
    <w:tbl>
      <w:tblPr>
        <w:tblStyle w:val="9"/>
        <w:tblW w:w="0" w:type="auto"/>
        <w:tblCaption w:val="&quot;\\lisheng\共享\1、伟隆2022年度审计\1、2022年度审计\1、附注及报告\2022年\附注计算-伟隆 - 2022.xlsx&quot; &quot;2022附注格式!_ReportTable_0107&quot;"/>
        <w:tblDescription w:val="A935:B941"/>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510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trPr>
        <w:tc>
          <w:tcPr>
            <w:tcW w:w="3828" w:type="dxa"/>
            <w:tcBorders>
              <w:top w:val="single" w:color="auto" w:sz="12" w:space="0"/>
              <w:bottom w:val="single" w:color="auto" w:sz="12" w:space="0"/>
            </w:tcBorders>
            <w:vAlign w:val="bottom"/>
          </w:tcPr>
          <w:p>
            <w:pPr>
              <w:spacing w:line="360" w:lineRule="auto"/>
              <w:ind w:right="-108"/>
              <w:jc w:val="center"/>
              <w:rPr>
                <w:rFonts w:ascii="宋体"/>
                <w:b/>
                <w:color w:val="auto"/>
                <w:sz w:val="18"/>
              </w:rPr>
            </w:pPr>
            <w:r>
              <w:rPr>
                <w:rFonts w:hint="eastAsia" w:ascii="宋体" w:hAnsi="宋体"/>
                <w:b/>
                <w:color w:val="auto"/>
                <w:sz w:val="18"/>
              </w:rPr>
              <w:t>其他关联方名称</w:t>
            </w:r>
          </w:p>
        </w:tc>
        <w:tc>
          <w:tcPr>
            <w:tcW w:w="5103" w:type="dxa"/>
            <w:tcBorders>
              <w:top w:val="single" w:color="auto" w:sz="12" w:space="0"/>
              <w:bottom w:val="single" w:color="auto" w:sz="12" w:space="0"/>
            </w:tcBorders>
            <w:vAlign w:val="bottom"/>
          </w:tcPr>
          <w:p>
            <w:pPr>
              <w:spacing w:line="360" w:lineRule="auto"/>
              <w:ind w:right="-108"/>
              <w:jc w:val="center"/>
              <w:rPr>
                <w:rFonts w:ascii="宋体"/>
                <w:b/>
                <w:color w:val="auto"/>
                <w:sz w:val="18"/>
              </w:rPr>
            </w:pPr>
            <w:r>
              <w:rPr>
                <w:rFonts w:hint="eastAsia" w:ascii="宋体" w:hAnsi="宋体"/>
                <w:b/>
                <w:color w:val="auto"/>
                <w:sz w:val="18"/>
              </w:rPr>
              <w:t>其他关联方与本公司关系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28" w:type="dxa"/>
            <w:vAlign w:val="bottom"/>
          </w:tcPr>
          <w:p>
            <w:pP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范玉隆</w:t>
            </w:r>
          </w:p>
        </w:tc>
        <w:tc>
          <w:tcPr>
            <w:tcW w:w="5103" w:type="dxa"/>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公司股东、实际控制人家族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28" w:type="dxa"/>
            <w:vAlign w:val="bottom"/>
          </w:tcPr>
          <w:p>
            <w:pP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江西惠隆企业管理有限公司</w:t>
            </w:r>
          </w:p>
        </w:tc>
        <w:tc>
          <w:tcPr>
            <w:tcW w:w="5103" w:type="dxa"/>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持有公司</w:t>
            </w:r>
            <w:r>
              <w:rPr>
                <w:rFonts w:asciiTheme="minorEastAsia" w:hAnsiTheme="minorEastAsia" w:eastAsiaTheme="minorEastAsia"/>
                <w:color w:val="auto"/>
                <w:sz w:val="18"/>
                <w:szCs w:val="18"/>
              </w:rPr>
              <w:t>5%以上股份股东、实际控制人控制的公司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28" w:type="dxa"/>
            <w:vAlign w:val="bottom"/>
          </w:tcPr>
          <w:p>
            <w:pPr>
              <w:rPr>
                <w:rFonts w:asciiTheme="minorEastAsia" w:hAnsiTheme="minorEastAsia" w:eastAsiaTheme="minorEastAsia"/>
                <w:color w:val="auto"/>
                <w:sz w:val="18"/>
                <w:szCs w:val="18"/>
              </w:rPr>
            </w:pPr>
            <w:r>
              <w:rPr>
                <w:rFonts w:hint="eastAsia" w:ascii="宋体" w:hAnsi="宋体" w:cs="Arial"/>
                <w:bCs/>
                <w:color w:val="auto"/>
                <w:sz w:val="18"/>
                <w:szCs w:val="18"/>
              </w:rPr>
              <w:t>青岛天海峰商贸有限公司</w:t>
            </w:r>
          </w:p>
        </w:tc>
        <w:tc>
          <w:tcPr>
            <w:tcW w:w="5103" w:type="dxa"/>
            <w:vAlign w:val="bottom"/>
          </w:tcPr>
          <w:p>
            <w:pPr>
              <w:jc w:val="center"/>
              <w:rPr>
                <w:rFonts w:asciiTheme="minorEastAsia" w:hAnsiTheme="minorEastAsia" w:eastAsiaTheme="minorEastAsia"/>
                <w:color w:val="auto"/>
                <w:sz w:val="18"/>
                <w:szCs w:val="18"/>
              </w:rPr>
            </w:pPr>
            <w:r>
              <w:rPr>
                <w:rFonts w:hint="eastAsia" w:cs="Arial" w:asciiTheme="minorEastAsia" w:hAnsiTheme="minorEastAsia" w:eastAsiaTheme="minorEastAsia"/>
                <w:bCs/>
                <w:color w:val="auto"/>
                <w:sz w:val="18"/>
                <w:szCs w:val="18"/>
              </w:rPr>
              <w:t>公司高管迟娜娜配偶李侃控制的公司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trPr>
        <w:tc>
          <w:tcPr>
            <w:tcW w:w="3828" w:type="dxa"/>
            <w:tcBorders>
              <w:bottom w:val="single" w:color="auto" w:sz="4" w:space="0"/>
            </w:tcBorders>
            <w:vAlign w:val="bottom"/>
          </w:tcPr>
          <w:p>
            <w:pPr>
              <w:rPr>
                <w:rFonts w:cs="Arial" w:asciiTheme="minorEastAsia" w:hAnsiTheme="minorEastAsia" w:eastAsiaTheme="minorEastAsia"/>
                <w:bCs/>
                <w:color w:val="auto"/>
                <w:sz w:val="18"/>
                <w:szCs w:val="18"/>
              </w:rPr>
            </w:pPr>
            <w:r>
              <w:rPr>
                <w:rFonts w:hint="eastAsia" w:cs="MicrosoftYaHei" w:asciiTheme="minorEastAsia" w:hAnsiTheme="minorEastAsia" w:eastAsiaTheme="minorEastAsia"/>
                <w:color w:val="auto"/>
                <w:kern w:val="0"/>
                <w:sz w:val="18"/>
                <w:szCs w:val="18"/>
              </w:rPr>
              <w:t>昌邑恒丽非织造布有限公司</w:t>
            </w:r>
          </w:p>
        </w:tc>
        <w:tc>
          <w:tcPr>
            <w:tcW w:w="5103" w:type="dxa"/>
            <w:tcBorders>
              <w:bottom w:val="single" w:color="auto" w:sz="4" w:space="0"/>
            </w:tcBorders>
            <w:vAlign w:val="bottom"/>
          </w:tcPr>
          <w:p>
            <w:pPr>
              <w:jc w:val="center"/>
              <w:rPr>
                <w:rFonts w:cs="Arial" w:asciiTheme="minorEastAsia" w:hAnsiTheme="minorEastAsia" w:eastAsiaTheme="minorEastAsia"/>
                <w:bCs/>
                <w:color w:val="auto"/>
                <w:sz w:val="18"/>
                <w:szCs w:val="18"/>
              </w:rPr>
            </w:pPr>
            <w:r>
              <w:rPr>
                <w:rFonts w:hint="eastAsia" w:cs="Arial" w:asciiTheme="minorEastAsia" w:hAnsiTheme="minorEastAsia" w:eastAsiaTheme="minorEastAsia"/>
                <w:bCs/>
                <w:color w:val="auto"/>
                <w:sz w:val="18"/>
                <w:szCs w:val="18"/>
              </w:rPr>
              <w:t>董事及总经理李会君之兄李会贤担任董事的公司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trPr>
        <w:tc>
          <w:tcPr>
            <w:tcW w:w="3828" w:type="dxa"/>
            <w:tcBorders>
              <w:bottom w:val="single" w:color="auto" w:sz="4" w:space="0"/>
            </w:tcBorders>
            <w:vAlign w:val="bottom"/>
          </w:tcPr>
          <w:p>
            <w:pPr>
              <w:rPr>
                <w:rFonts w:cs="MicrosoftYaHei" w:asciiTheme="minorEastAsia" w:hAnsiTheme="minorEastAsia" w:eastAsiaTheme="minorEastAsia"/>
                <w:color w:val="auto"/>
                <w:kern w:val="0"/>
                <w:sz w:val="18"/>
                <w:szCs w:val="18"/>
              </w:rPr>
            </w:pPr>
            <w:r>
              <w:rPr>
                <w:rFonts w:hint="eastAsia" w:cs="MicrosoftYaHei" w:asciiTheme="minorEastAsia" w:hAnsiTheme="minorEastAsia" w:eastAsiaTheme="minorEastAsia"/>
                <w:color w:val="auto"/>
                <w:kern w:val="0"/>
                <w:sz w:val="18"/>
                <w:szCs w:val="18"/>
              </w:rPr>
              <w:t>山东天创洲际物流有限公司青岛市北分公司</w:t>
            </w:r>
          </w:p>
        </w:tc>
        <w:tc>
          <w:tcPr>
            <w:tcW w:w="5103" w:type="dxa"/>
            <w:tcBorders>
              <w:bottom w:val="single" w:color="auto" w:sz="4" w:space="0"/>
            </w:tcBorders>
            <w:vAlign w:val="bottom"/>
          </w:tcPr>
          <w:p>
            <w:pPr>
              <w:jc w:val="center"/>
              <w:rPr>
                <w:rFonts w:cs="Arial" w:asciiTheme="minorEastAsia" w:hAnsiTheme="minorEastAsia" w:eastAsiaTheme="minorEastAsia"/>
                <w:bCs/>
                <w:color w:val="auto"/>
                <w:sz w:val="18"/>
                <w:szCs w:val="18"/>
              </w:rPr>
            </w:pPr>
            <w:r>
              <w:rPr>
                <w:rFonts w:hint="eastAsia" w:cs="Arial" w:asciiTheme="minorEastAsia" w:hAnsiTheme="minorEastAsia" w:eastAsiaTheme="minorEastAsia"/>
                <w:bCs/>
                <w:color w:val="auto"/>
                <w:sz w:val="18"/>
                <w:szCs w:val="18"/>
              </w:rPr>
              <w:t>公司高管迟娜娜配偶李侃任负责人的公司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trPr>
        <w:tc>
          <w:tcPr>
            <w:tcW w:w="3828" w:type="dxa"/>
            <w:tcBorders>
              <w:top w:val="single" w:color="auto" w:sz="4" w:space="0"/>
              <w:bottom w:val="single" w:color="auto" w:sz="12" w:space="0"/>
            </w:tcBorders>
            <w:vAlign w:val="bottom"/>
          </w:tcPr>
          <w:p>
            <w:pPr>
              <w:rPr>
                <w:rFonts w:cs="Arial" w:asciiTheme="minorEastAsia" w:hAnsiTheme="minorEastAsia" w:eastAsiaTheme="minorEastAsia"/>
                <w:bCs/>
                <w:color w:val="auto"/>
                <w:sz w:val="18"/>
                <w:szCs w:val="18"/>
              </w:rPr>
            </w:pPr>
            <w:r>
              <w:rPr>
                <w:rFonts w:hint="eastAsia" w:cs="MicrosoftYaHei" w:asciiTheme="minorEastAsia" w:hAnsiTheme="minorEastAsia" w:eastAsiaTheme="minorEastAsia"/>
                <w:color w:val="auto"/>
                <w:kern w:val="0"/>
                <w:sz w:val="18"/>
                <w:szCs w:val="18"/>
              </w:rPr>
              <w:t>兰州鑫驰商贸有限公司</w:t>
            </w:r>
          </w:p>
        </w:tc>
        <w:tc>
          <w:tcPr>
            <w:tcW w:w="5103" w:type="dxa"/>
            <w:tcBorders>
              <w:top w:val="single" w:color="auto" w:sz="4" w:space="0"/>
              <w:bottom w:val="single" w:color="auto" w:sz="12" w:space="0"/>
            </w:tcBorders>
            <w:vAlign w:val="bottom"/>
          </w:tcPr>
          <w:p>
            <w:pPr>
              <w:jc w:val="center"/>
              <w:rPr>
                <w:rFonts w:cs="Arial" w:asciiTheme="minorEastAsia" w:hAnsiTheme="minorEastAsia" w:eastAsiaTheme="minorEastAsia"/>
                <w:bCs/>
                <w:color w:val="auto"/>
                <w:sz w:val="18"/>
                <w:szCs w:val="18"/>
              </w:rPr>
            </w:pPr>
            <w:r>
              <w:rPr>
                <w:rFonts w:hint="eastAsia" w:cs="Arial" w:asciiTheme="minorEastAsia" w:hAnsiTheme="minorEastAsia" w:eastAsiaTheme="minorEastAsia"/>
                <w:bCs/>
                <w:color w:val="auto"/>
                <w:sz w:val="18"/>
                <w:szCs w:val="18"/>
              </w:rPr>
              <w:t>董事迟娜娜之兄嫂金巧控制的公司</w:t>
            </w:r>
          </w:p>
        </w:tc>
      </w:tr>
    </w:tbl>
    <w:p>
      <w:pPr>
        <w:spacing w:before="150" w:beforeLines="50" w:after="150" w:afterLines="50" w:line="360" w:lineRule="auto"/>
        <w:ind w:firstLine="420" w:firstLineChars="200"/>
        <w:rPr>
          <w:rFonts w:ascii="宋体" w:hAnsi="宋体"/>
          <w:b/>
          <w:color w:val="auto"/>
          <w:szCs w:val="21"/>
        </w:rPr>
      </w:pPr>
      <w:r>
        <w:rPr>
          <w:rFonts w:hint="eastAsia" w:ascii="宋体" w:hAnsi="宋体"/>
          <w:b/>
          <w:color w:val="auto"/>
          <w:szCs w:val="21"/>
        </w:rPr>
        <w:t>（四）关联方交易情况</w:t>
      </w:r>
    </w:p>
    <w:p>
      <w:pPr>
        <w:spacing w:before="150" w:beforeLines="50" w:after="150" w:afterLines="50" w:line="360" w:lineRule="auto"/>
        <w:ind w:firstLine="420" w:firstLineChars="200"/>
        <w:rPr>
          <w:rFonts w:ascii="宋体" w:hAnsi="宋体"/>
          <w:b/>
          <w:color w:val="auto"/>
          <w:szCs w:val="21"/>
        </w:rPr>
      </w:pPr>
      <w:r>
        <w:rPr>
          <w:rFonts w:hint="eastAsia" w:ascii="宋体" w:hAnsi="宋体"/>
          <w:b/>
          <w:color w:val="auto"/>
          <w:szCs w:val="21"/>
        </w:rPr>
        <w:t>1、购销商品、提供和接受劳务的关联交易</w:t>
      </w:r>
    </w:p>
    <w:p>
      <w:pPr>
        <w:spacing w:before="150" w:beforeLines="50" w:after="150" w:afterLines="50" w:line="360" w:lineRule="auto"/>
        <w:ind w:firstLine="420" w:firstLineChars="200"/>
        <w:rPr>
          <w:rFonts w:ascii="宋体" w:hAnsi="宋体"/>
          <w:b/>
          <w:color w:val="auto"/>
          <w:szCs w:val="21"/>
        </w:rPr>
      </w:pPr>
      <w:r>
        <w:rPr>
          <w:rFonts w:hint="eastAsia" w:ascii="宋体" w:hAnsi="宋体"/>
          <w:b/>
          <w:color w:val="auto"/>
          <w:szCs w:val="21"/>
        </w:rPr>
        <w:t>无</w:t>
      </w:r>
    </w:p>
    <w:p>
      <w:pPr>
        <w:spacing w:before="150" w:beforeLines="50" w:after="150" w:afterLines="50" w:line="360" w:lineRule="auto"/>
        <w:ind w:left="420"/>
        <w:rPr>
          <w:rFonts w:ascii="宋体" w:hAnsi="宋体"/>
          <w:b/>
          <w:color w:val="auto"/>
          <w:szCs w:val="21"/>
        </w:rPr>
      </w:pPr>
      <w:r>
        <w:rPr>
          <w:rFonts w:hint="eastAsia" w:ascii="宋体" w:hAnsi="宋体"/>
          <w:b/>
          <w:color w:val="auto"/>
          <w:szCs w:val="21"/>
        </w:rPr>
        <w:t>2、</w:t>
      </w:r>
      <w:r>
        <w:rPr>
          <w:rFonts w:ascii="宋体" w:hAnsi="宋体"/>
          <w:b/>
          <w:color w:val="auto"/>
          <w:szCs w:val="21"/>
        </w:rPr>
        <w:t>关联担保情况</w:t>
      </w:r>
    </w:p>
    <w:p>
      <w:pPr>
        <w:spacing w:before="150" w:beforeLines="50" w:after="150" w:afterLines="50" w:line="360" w:lineRule="auto"/>
        <w:ind w:left="420"/>
        <w:rPr>
          <w:rFonts w:ascii="宋体" w:hAnsi="宋体"/>
          <w:b/>
          <w:color w:val="auto"/>
          <w:szCs w:val="21"/>
        </w:rPr>
      </w:pPr>
      <w:r>
        <w:rPr>
          <w:rFonts w:hint="eastAsia" w:ascii="宋体" w:hAnsi="宋体"/>
          <w:b/>
          <w:color w:val="auto"/>
          <w:szCs w:val="21"/>
        </w:rPr>
        <w:t>无</w:t>
      </w:r>
    </w:p>
    <w:p>
      <w:pPr>
        <w:spacing w:before="150" w:beforeLines="50" w:after="150" w:afterLines="50" w:line="360" w:lineRule="auto"/>
        <w:ind w:firstLine="420" w:firstLineChars="200"/>
        <w:rPr>
          <w:rFonts w:ascii="宋体" w:hAnsi="宋体"/>
          <w:b/>
          <w:color w:val="auto"/>
          <w:szCs w:val="21"/>
        </w:rPr>
      </w:pPr>
      <w:r>
        <w:rPr>
          <w:rFonts w:hint="eastAsia" w:ascii="宋体" w:hAnsi="宋体"/>
          <w:b/>
          <w:color w:val="auto"/>
          <w:szCs w:val="21"/>
        </w:rPr>
        <w:t>（五）关联方应收应付款项</w:t>
      </w:r>
    </w:p>
    <w:p>
      <w:pPr>
        <w:spacing w:before="150" w:beforeLines="50" w:after="150" w:afterLines="50" w:line="360" w:lineRule="auto"/>
        <w:ind w:firstLine="420" w:firstLineChars="200"/>
        <w:rPr>
          <w:rFonts w:ascii="宋体" w:hAnsi="宋体"/>
          <w:b/>
          <w:color w:val="auto"/>
        </w:rPr>
      </w:pPr>
      <w:r>
        <w:rPr>
          <w:rFonts w:hint="eastAsia" w:ascii="宋体" w:hAnsi="宋体"/>
          <w:b/>
          <w:color w:val="auto"/>
        </w:rPr>
        <w:t>无</w:t>
      </w:r>
    </w:p>
    <w:p>
      <w:pPr>
        <w:spacing w:before="150" w:beforeLines="50" w:after="150" w:afterLines="50" w:line="360" w:lineRule="auto"/>
        <w:ind w:firstLine="480" w:firstLineChars="200"/>
        <w:outlineLvl w:val="0"/>
        <w:rPr>
          <w:rFonts w:cs="Arial" w:asciiTheme="minorEastAsia" w:hAnsiTheme="minorEastAsia" w:eastAsiaTheme="minorEastAsia"/>
          <w:b/>
          <w:bCs/>
          <w:color w:val="auto"/>
          <w:sz w:val="24"/>
          <w:szCs w:val="24"/>
        </w:rPr>
      </w:pPr>
      <w:r>
        <w:rPr>
          <w:rFonts w:cs="Arial" w:asciiTheme="minorEastAsia" w:hAnsiTheme="minorEastAsia" w:eastAsiaTheme="minorEastAsia"/>
          <w:b/>
          <w:bCs/>
          <w:color w:val="auto"/>
          <w:sz w:val="24"/>
          <w:szCs w:val="24"/>
        </w:rPr>
        <w:t>十</w:t>
      </w:r>
      <w:r>
        <w:rPr>
          <w:rFonts w:hint="eastAsia" w:cs="Arial" w:asciiTheme="minorEastAsia" w:hAnsiTheme="minorEastAsia" w:eastAsiaTheme="minorEastAsia"/>
          <w:b/>
          <w:bCs/>
          <w:color w:val="auto"/>
          <w:sz w:val="24"/>
          <w:szCs w:val="24"/>
        </w:rPr>
        <w:t>一</w:t>
      </w:r>
      <w:r>
        <w:rPr>
          <w:rFonts w:cs="Arial" w:asciiTheme="minorEastAsia" w:hAnsiTheme="minorEastAsia" w:eastAsiaTheme="minorEastAsia"/>
          <w:b/>
          <w:bCs/>
          <w:color w:val="auto"/>
          <w:sz w:val="24"/>
          <w:szCs w:val="24"/>
        </w:rPr>
        <w:t>、股份支付</w:t>
      </w:r>
    </w:p>
    <w:p>
      <w:pPr>
        <w:tabs>
          <w:tab w:val="left" w:pos="3570"/>
        </w:tabs>
        <w:spacing w:before="150" w:beforeLines="50" w:after="150" w:afterLines="50" w:line="360" w:lineRule="auto"/>
        <w:ind w:firstLine="420" w:firstLineChars="200"/>
        <w:rPr>
          <w:rFonts w:cs="Arial" w:asciiTheme="minorEastAsia" w:hAnsiTheme="minorEastAsia" w:eastAsiaTheme="minorEastAsia"/>
          <w:b/>
          <w:color w:val="auto"/>
          <w:szCs w:val="21"/>
        </w:rPr>
      </w:pPr>
      <w:bookmarkStart w:id="34" w:name="_Toc241636505"/>
      <w:r>
        <w:rPr>
          <w:rFonts w:cs="Arial" w:asciiTheme="minorEastAsia" w:hAnsiTheme="minorEastAsia" w:eastAsiaTheme="minorEastAsia"/>
          <w:b/>
          <w:color w:val="auto"/>
          <w:szCs w:val="21"/>
        </w:rPr>
        <w:t>1</w:t>
      </w:r>
      <w:r>
        <w:rPr>
          <w:rFonts w:hint="eastAsia" w:cs="Arial" w:asciiTheme="minorEastAsia" w:hAnsiTheme="minorEastAsia" w:eastAsiaTheme="minorEastAsia"/>
          <w:b/>
          <w:color w:val="auto"/>
          <w:szCs w:val="21"/>
        </w:rPr>
        <w:t>、股份支付总体情况</w:t>
      </w:r>
      <w:bookmarkEnd w:id="34"/>
    </w:p>
    <w:tbl>
      <w:tblPr>
        <w:tblStyle w:val="9"/>
        <w:tblW w:w="8908" w:type="dxa"/>
        <w:jc w:val="center"/>
        <w:tblCaption w:val="&quot;\\lisheng\共享\1、伟隆2022年度审计\1、2022年度审计\1、附注及报告\2022年\附注计算-伟隆 - 2022.xlsx&quot; &quot;2022附注格式!_ReportTable_0108&quot;"/>
        <w:tblDescription w:val="A962:B966"/>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3846"/>
        <w:gridCol w:w="506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blHeader/>
          <w:jc w:val="center"/>
        </w:trPr>
        <w:tc>
          <w:tcPr>
            <w:tcW w:w="3846" w:type="dxa"/>
            <w:tcBorders>
              <w:top w:val="single" w:color="auto" w:sz="12" w:space="0"/>
              <w:bottom w:val="single" w:color="auto" w:sz="12" w:space="0"/>
              <w:right w:val="single" w:color="auto" w:sz="4" w:space="0"/>
            </w:tcBorders>
            <w:shd w:val="clear" w:color="auto" w:fill="auto"/>
            <w:vAlign w:val="center"/>
          </w:tcPr>
          <w:p>
            <w:pPr>
              <w:widowControl/>
              <w:spacing w:line="400" w:lineRule="exact"/>
              <w:jc w:val="center"/>
              <w:rPr>
                <w:rFonts w:cs="Arial" w:asciiTheme="minorEastAsia" w:hAnsiTheme="minorEastAsia" w:eastAsiaTheme="minorEastAsia"/>
                <w:b/>
                <w:color w:val="auto"/>
                <w:kern w:val="0"/>
                <w:sz w:val="18"/>
                <w:szCs w:val="18"/>
              </w:rPr>
            </w:pPr>
            <w:r>
              <w:rPr>
                <w:rFonts w:hint="eastAsia" w:cs="Arial" w:asciiTheme="minorEastAsia" w:hAnsiTheme="minorEastAsia" w:eastAsiaTheme="minorEastAsia"/>
                <w:b/>
                <w:color w:val="auto"/>
                <w:kern w:val="0"/>
                <w:sz w:val="18"/>
                <w:szCs w:val="18"/>
              </w:rPr>
              <w:t>项</w:t>
            </w:r>
            <w:r>
              <w:rPr>
                <w:rFonts w:cs="Arial" w:asciiTheme="minorEastAsia" w:hAnsiTheme="minorEastAsia" w:eastAsiaTheme="minorEastAsia"/>
                <w:b/>
                <w:color w:val="auto"/>
                <w:kern w:val="0"/>
                <w:sz w:val="18"/>
                <w:szCs w:val="18"/>
              </w:rPr>
              <w:t xml:space="preserve">   目</w:t>
            </w:r>
          </w:p>
        </w:tc>
        <w:tc>
          <w:tcPr>
            <w:tcW w:w="5062" w:type="dxa"/>
            <w:tcBorders>
              <w:top w:val="single" w:color="auto" w:sz="12" w:space="0"/>
              <w:left w:val="single" w:color="auto" w:sz="4" w:space="0"/>
              <w:bottom w:val="single" w:color="auto" w:sz="12" w:space="0"/>
            </w:tcBorders>
            <w:shd w:val="clear" w:color="auto" w:fill="auto"/>
            <w:vAlign w:val="center"/>
          </w:tcPr>
          <w:p>
            <w:pPr>
              <w:widowControl/>
              <w:spacing w:line="400" w:lineRule="exact"/>
              <w:jc w:val="center"/>
              <w:rPr>
                <w:rFonts w:cs="Arial" w:asciiTheme="minorEastAsia" w:hAnsiTheme="minorEastAsia" w:eastAsiaTheme="minorEastAsia"/>
                <w:b/>
                <w:color w:val="auto"/>
                <w:kern w:val="0"/>
                <w:sz w:val="18"/>
                <w:szCs w:val="18"/>
              </w:rPr>
            </w:pPr>
            <w:r>
              <w:rPr>
                <w:rFonts w:hint="eastAsia" w:cs="Arial" w:asciiTheme="minorEastAsia" w:hAnsiTheme="minorEastAsia" w:eastAsiaTheme="minorEastAsia"/>
                <w:b/>
                <w:color w:val="auto"/>
                <w:kern w:val="0"/>
                <w:sz w:val="18"/>
                <w:szCs w:val="18"/>
              </w:rPr>
              <w:t>相关内容</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3846" w:type="dxa"/>
            <w:tcBorders>
              <w:top w:val="single" w:color="auto" w:sz="12" w:space="0"/>
              <w:bottom w:val="single" w:color="auto" w:sz="4" w:space="0"/>
              <w:right w:val="single" w:color="auto" w:sz="4" w:space="0"/>
            </w:tcBorders>
            <w:shd w:val="clear" w:color="auto" w:fill="auto"/>
            <w:vAlign w:val="center"/>
          </w:tcPr>
          <w:p>
            <w:pPr>
              <w:widowControl/>
              <w:spacing w:line="400" w:lineRule="exact"/>
              <w:rPr>
                <w:rFonts w:cs="Arial" w:asciiTheme="minorEastAsia" w:hAnsiTheme="minorEastAsia" w:eastAsiaTheme="minorEastAsia"/>
                <w:color w:val="auto"/>
                <w:kern w:val="0"/>
                <w:sz w:val="18"/>
                <w:szCs w:val="18"/>
              </w:rPr>
            </w:pPr>
            <w:r>
              <w:rPr>
                <w:rFonts w:hint="eastAsia" w:cs="Arial" w:asciiTheme="minorEastAsia" w:hAnsiTheme="minorEastAsia" w:eastAsiaTheme="minorEastAsia"/>
                <w:color w:val="auto"/>
                <w:kern w:val="0"/>
                <w:sz w:val="18"/>
                <w:szCs w:val="18"/>
              </w:rPr>
              <w:t>公司本年授予的各项权益工具总额</w:t>
            </w:r>
          </w:p>
        </w:tc>
        <w:tc>
          <w:tcPr>
            <w:tcW w:w="5062" w:type="dxa"/>
            <w:tcBorders>
              <w:top w:val="single" w:color="auto" w:sz="12" w:space="0"/>
              <w:left w:val="single" w:color="auto" w:sz="4" w:space="0"/>
              <w:bottom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427,626.00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3846" w:type="dxa"/>
            <w:tcBorders>
              <w:top w:val="single" w:color="auto" w:sz="4" w:space="0"/>
              <w:bottom w:val="single" w:color="auto" w:sz="4" w:space="0"/>
              <w:right w:val="single" w:color="auto" w:sz="4" w:space="0"/>
            </w:tcBorders>
            <w:shd w:val="clear" w:color="auto" w:fill="auto"/>
            <w:vAlign w:val="center"/>
          </w:tcPr>
          <w:p>
            <w:pPr>
              <w:widowControl/>
              <w:spacing w:line="400" w:lineRule="exact"/>
              <w:rPr>
                <w:rFonts w:cs="Arial" w:asciiTheme="minorEastAsia" w:hAnsiTheme="minorEastAsia" w:eastAsiaTheme="minorEastAsia"/>
                <w:color w:val="auto"/>
                <w:kern w:val="0"/>
                <w:sz w:val="18"/>
                <w:szCs w:val="18"/>
              </w:rPr>
            </w:pPr>
            <w:r>
              <w:rPr>
                <w:rFonts w:hint="eastAsia" w:cs="Arial" w:asciiTheme="minorEastAsia" w:hAnsiTheme="minorEastAsia" w:eastAsiaTheme="minorEastAsia"/>
                <w:color w:val="auto"/>
                <w:kern w:val="0"/>
                <w:sz w:val="18"/>
                <w:szCs w:val="18"/>
              </w:rPr>
              <w:t>公司本年行权的各项权益工具总额</w:t>
            </w:r>
          </w:p>
        </w:tc>
        <w:tc>
          <w:tcPr>
            <w:tcW w:w="5062" w:type="dxa"/>
            <w:tcBorders>
              <w:top w:val="single" w:color="auto" w:sz="4" w:space="0"/>
              <w:left w:val="single" w:color="auto" w:sz="4" w:space="0"/>
              <w:bottom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762,000.00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3846" w:type="dxa"/>
            <w:tcBorders>
              <w:top w:val="single" w:color="auto" w:sz="4" w:space="0"/>
              <w:bottom w:val="single" w:color="auto" w:sz="4" w:space="0"/>
              <w:right w:val="single" w:color="auto" w:sz="4" w:space="0"/>
            </w:tcBorders>
            <w:shd w:val="clear" w:color="auto" w:fill="auto"/>
            <w:vAlign w:val="center"/>
          </w:tcPr>
          <w:p>
            <w:pPr>
              <w:widowControl/>
              <w:spacing w:line="400" w:lineRule="exact"/>
              <w:rPr>
                <w:rFonts w:cs="Arial" w:asciiTheme="minorEastAsia" w:hAnsiTheme="minorEastAsia" w:eastAsiaTheme="minorEastAsia"/>
                <w:color w:val="auto"/>
                <w:kern w:val="0"/>
                <w:sz w:val="18"/>
                <w:szCs w:val="18"/>
              </w:rPr>
            </w:pPr>
            <w:r>
              <w:rPr>
                <w:rFonts w:hint="eastAsia" w:cs="Arial" w:asciiTheme="minorEastAsia" w:hAnsiTheme="minorEastAsia" w:eastAsiaTheme="minorEastAsia"/>
                <w:color w:val="auto"/>
                <w:kern w:val="0"/>
                <w:sz w:val="18"/>
                <w:szCs w:val="18"/>
              </w:rPr>
              <w:t>公司本年失效的各项权益工具总额</w:t>
            </w:r>
          </w:p>
        </w:tc>
        <w:tc>
          <w:tcPr>
            <w:tcW w:w="5062" w:type="dxa"/>
            <w:tcBorders>
              <w:top w:val="single" w:color="auto" w:sz="4" w:space="0"/>
              <w:left w:val="single" w:color="auto" w:sz="4" w:space="0"/>
              <w:bottom w:val="single" w:color="auto" w:sz="4" w:space="0"/>
            </w:tcBorders>
            <w:shd w:val="clear" w:color="auto" w:fill="auto"/>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155,500</w:t>
            </w:r>
            <w:r>
              <w:rPr>
                <w:rFonts w:hint="eastAsia" w:cs="宋体" w:asciiTheme="minorEastAsia" w:hAnsiTheme="minorEastAsia" w:eastAsiaTheme="minorEastAsia"/>
                <w:color w:val="auto"/>
                <w:sz w:val="18"/>
                <w:szCs w:val="18"/>
              </w:rPr>
              <w:t>.00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914" w:hRule="atLeast"/>
          <w:jc w:val="center"/>
        </w:trPr>
        <w:tc>
          <w:tcPr>
            <w:tcW w:w="3846" w:type="dxa"/>
            <w:tcBorders>
              <w:top w:val="single" w:color="auto" w:sz="4" w:space="0"/>
              <w:bottom w:val="single" w:color="auto" w:sz="12" w:space="0"/>
              <w:right w:val="single" w:color="auto" w:sz="4" w:space="0"/>
            </w:tcBorders>
            <w:shd w:val="clear" w:color="auto" w:fill="auto"/>
            <w:vAlign w:val="bottom"/>
          </w:tcPr>
          <w:p>
            <w:pPr>
              <w:widowControl/>
              <w:spacing w:line="400" w:lineRule="exact"/>
              <w:rPr>
                <w:rFonts w:cs="Arial" w:asciiTheme="minorEastAsia" w:hAnsiTheme="minorEastAsia" w:eastAsiaTheme="minorEastAsia"/>
                <w:color w:val="auto"/>
                <w:kern w:val="0"/>
                <w:sz w:val="18"/>
                <w:szCs w:val="18"/>
              </w:rPr>
            </w:pPr>
            <w:r>
              <w:rPr>
                <w:rFonts w:hint="eastAsia" w:cs="Arial" w:asciiTheme="minorEastAsia" w:hAnsiTheme="minorEastAsia" w:eastAsiaTheme="minorEastAsia"/>
                <w:color w:val="auto"/>
                <w:kern w:val="0"/>
                <w:sz w:val="18"/>
                <w:szCs w:val="18"/>
              </w:rPr>
              <w:t>公司年末发行在外的股份期权行权价格的范围和合同剩余期限</w:t>
            </w:r>
          </w:p>
        </w:tc>
        <w:tc>
          <w:tcPr>
            <w:tcW w:w="5062" w:type="dxa"/>
            <w:tcBorders>
              <w:top w:val="single" w:color="auto" w:sz="4" w:space="0"/>
              <w:left w:val="single" w:color="auto" w:sz="4" w:space="0"/>
              <w:bottom w:val="single" w:color="auto" w:sz="12" w:space="0"/>
            </w:tcBorders>
            <w:shd w:val="clear" w:color="auto" w:fill="auto"/>
            <w:vAlign w:val="bottom"/>
          </w:tcPr>
          <w:p>
            <w:pPr>
              <w:widowControl/>
              <w:spacing w:line="276" w:lineRule="auto"/>
              <w:rPr>
                <w:rFonts w:cs="Arial" w:asciiTheme="minorEastAsia" w:hAnsiTheme="minorEastAsia" w:eastAsiaTheme="minorEastAsia"/>
                <w:color w:val="auto"/>
                <w:kern w:val="0"/>
                <w:sz w:val="18"/>
                <w:szCs w:val="18"/>
              </w:rPr>
            </w:pPr>
            <w:r>
              <w:rPr>
                <w:rFonts w:cs="Arial" w:asciiTheme="minorEastAsia" w:hAnsiTheme="minorEastAsia" w:eastAsiaTheme="minorEastAsia"/>
                <w:color w:val="auto"/>
                <w:kern w:val="0"/>
                <w:sz w:val="18"/>
                <w:szCs w:val="18"/>
              </w:rPr>
              <w:t>2021年10月27日授予的限制性股票价格为5.00元/股；限制性股票的限售期分别为自授予登记完成之日起12个月、24个月、36个月分别解锁30%，30%，40%。</w:t>
            </w:r>
          </w:p>
          <w:p>
            <w:pPr>
              <w:widowControl/>
              <w:spacing w:line="276" w:lineRule="auto"/>
              <w:rPr>
                <w:rFonts w:cs="Arial" w:asciiTheme="minorEastAsia" w:hAnsiTheme="minorEastAsia" w:eastAsiaTheme="minorEastAsia"/>
                <w:color w:val="auto"/>
                <w:kern w:val="0"/>
                <w:sz w:val="18"/>
                <w:szCs w:val="18"/>
              </w:rPr>
            </w:pPr>
            <w:r>
              <w:rPr>
                <w:rFonts w:hint="eastAsia" w:cs="Arial" w:asciiTheme="minorEastAsia" w:hAnsiTheme="minorEastAsia" w:eastAsiaTheme="minorEastAsia"/>
                <w:color w:val="auto"/>
                <w:kern w:val="0"/>
                <w:sz w:val="18"/>
                <w:szCs w:val="18"/>
              </w:rPr>
              <w:t>2022年9月8日</w:t>
            </w:r>
            <w:r>
              <w:rPr>
                <w:rFonts w:cs="Arial" w:asciiTheme="minorEastAsia" w:hAnsiTheme="minorEastAsia" w:eastAsiaTheme="minorEastAsia"/>
                <w:color w:val="auto"/>
                <w:kern w:val="0"/>
                <w:sz w:val="18"/>
                <w:szCs w:val="18"/>
              </w:rPr>
              <w:t>授予的限制性股票价格为</w:t>
            </w:r>
            <w:r>
              <w:rPr>
                <w:rFonts w:hint="eastAsia" w:cs="Arial" w:asciiTheme="minorEastAsia" w:hAnsiTheme="minorEastAsia" w:eastAsiaTheme="minorEastAsia"/>
                <w:color w:val="auto"/>
                <w:kern w:val="0"/>
                <w:sz w:val="18"/>
                <w:szCs w:val="18"/>
              </w:rPr>
              <w:t>4.65</w:t>
            </w:r>
            <w:r>
              <w:rPr>
                <w:rFonts w:cs="Arial" w:asciiTheme="minorEastAsia" w:hAnsiTheme="minorEastAsia" w:eastAsiaTheme="minorEastAsia"/>
                <w:color w:val="auto"/>
                <w:kern w:val="0"/>
                <w:sz w:val="18"/>
                <w:szCs w:val="18"/>
              </w:rPr>
              <w:t>元/股；限制性股票的限售期分别为自授予登记完成之日起12个月、24个月分别解锁</w:t>
            </w:r>
            <w:r>
              <w:rPr>
                <w:rFonts w:hint="eastAsia" w:cs="Arial" w:asciiTheme="minorEastAsia" w:hAnsiTheme="minorEastAsia" w:eastAsiaTheme="minorEastAsia"/>
                <w:color w:val="auto"/>
                <w:kern w:val="0"/>
                <w:sz w:val="18"/>
                <w:szCs w:val="18"/>
              </w:rPr>
              <w:t>5</w:t>
            </w:r>
            <w:r>
              <w:rPr>
                <w:rFonts w:cs="Arial" w:asciiTheme="minorEastAsia" w:hAnsiTheme="minorEastAsia" w:eastAsiaTheme="minorEastAsia"/>
                <w:color w:val="auto"/>
                <w:kern w:val="0"/>
                <w:sz w:val="18"/>
                <w:szCs w:val="18"/>
              </w:rPr>
              <w:t>0%，</w:t>
            </w:r>
            <w:r>
              <w:rPr>
                <w:rFonts w:hint="eastAsia" w:cs="Arial" w:asciiTheme="minorEastAsia" w:hAnsiTheme="minorEastAsia" w:eastAsiaTheme="minorEastAsia"/>
                <w:color w:val="auto"/>
                <w:kern w:val="0"/>
                <w:sz w:val="18"/>
                <w:szCs w:val="18"/>
              </w:rPr>
              <w:t>5</w:t>
            </w:r>
            <w:r>
              <w:rPr>
                <w:rFonts w:cs="Arial" w:asciiTheme="minorEastAsia" w:hAnsiTheme="minorEastAsia" w:eastAsiaTheme="minorEastAsia"/>
                <w:color w:val="auto"/>
                <w:kern w:val="0"/>
                <w:sz w:val="18"/>
                <w:szCs w:val="18"/>
              </w:rPr>
              <w:t>0%。</w:t>
            </w:r>
          </w:p>
        </w:tc>
      </w:tr>
    </w:tbl>
    <w:p>
      <w:pPr>
        <w:tabs>
          <w:tab w:val="left" w:pos="8820"/>
          <w:tab w:val="left" w:pos="9000"/>
        </w:tabs>
        <w:spacing w:before="150" w:beforeLines="50" w:line="360" w:lineRule="auto"/>
        <w:ind w:firstLine="420" w:firstLineChars="200"/>
        <w:rPr>
          <w:rFonts w:asciiTheme="minorEastAsia" w:hAnsiTheme="minorEastAsia" w:eastAsiaTheme="minorEastAsia"/>
          <w:color w:val="auto"/>
          <w:highlight w:val="yellow"/>
        </w:rPr>
      </w:pPr>
      <w:r>
        <w:rPr>
          <w:rFonts w:cs="Arial" w:asciiTheme="minorEastAsia" w:hAnsiTheme="minorEastAsia" w:eastAsiaTheme="minorEastAsia"/>
          <w:color w:val="auto"/>
          <w:szCs w:val="21"/>
        </w:rPr>
        <w:t>注：</w:t>
      </w:r>
      <w:r>
        <w:rPr>
          <w:rFonts w:hint="eastAsia" w:cs="Arial" w:asciiTheme="minorEastAsia" w:hAnsiTheme="minorEastAsia" w:eastAsiaTheme="minorEastAsia"/>
          <w:color w:val="auto"/>
          <w:szCs w:val="21"/>
        </w:rPr>
        <w:t>公司第四届董事会第十四次会议决议审计通过的《关于调整2021年限制性股票激励计划预留部分授予价格的议案》及《关于向2021年限制性股票激励计划激励对象授予预留部分限制性股票的议案》，鉴于2021年限制性股票激励计划规定的授予条件已经成就，将2022年9月8日作为预留限制性股票授予日，向27名激励对象授予427,626.00股预留限制性股票，授予价格4.65元每股。</w:t>
      </w:r>
    </w:p>
    <w:p>
      <w:pPr>
        <w:tabs>
          <w:tab w:val="left" w:pos="3570"/>
        </w:tabs>
        <w:spacing w:before="150" w:beforeLines="50" w:after="150" w:afterLines="50" w:line="360" w:lineRule="auto"/>
        <w:ind w:firstLine="420" w:firstLineChars="200"/>
        <w:rPr>
          <w:rFonts w:cs="Arial" w:asciiTheme="minorEastAsia" w:hAnsiTheme="minorEastAsia" w:eastAsiaTheme="minorEastAsia"/>
          <w:b/>
          <w:color w:val="auto"/>
          <w:szCs w:val="21"/>
        </w:rPr>
      </w:pPr>
      <w:r>
        <w:rPr>
          <w:rFonts w:cs="Arial" w:asciiTheme="minorEastAsia" w:hAnsiTheme="minorEastAsia" w:eastAsiaTheme="minorEastAsia"/>
          <w:b/>
          <w:color w:val="auto"/>
          <w:szCs w:val="21"/>
        </w:rPr>
        <w:t>2</w:t>
      </w:r>
      <w:r>
        <w:rPr>
          <w:rFonts w:hint="eastAsia" w:cs="Arial" w:asciiTheme="minorEastAsia" w:hAnsiTheme="minorEastAsia" w:eastAsiaTheme="minorEastAsia"/>
          <w:b/>
          <w:color w:val="auto"/>
          <w:szCs w:val="21"/>
        </w:rPr>
        <w:t>、以权益结算的股份支付情况</w:t>
      </w:r>
    </w:p>
    <w:tbl>
      <w:tblPr>
        <w:tblStyle w:val="9"/>
        <w:tblW w:w="8906" w:type="dxa"/>
        <w:jc w:val="center"/>
        <w:tblCaption w:val="&quot;\\lisheng\共享\1、伟隆2022年度审计\1、2022年度审计\1、附注及报告\2022年\附注计算-伟隆 - 2022.xlsx&quot; &quot;2022附注格式!_ReportTable_0109&quot;"/>
        <w:tblDescription w:val="A969:B974"/>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4553"/>
        <w:gridCol w:w="43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553" w:type="dxa"/>
            <w:tcBorders>
              <w:top w:val="single" w:color="auto" w:sz="12" w:space="0"/>
              <w:bottom w:val="single" w:color="auto" w:sz="12" w:space="0"/>
            </w:tcBorders>
            <w:shd w:val="clear" w:color="auto" w:fill="auto"/>
            <w:vAlign w:val="center"/>
          </w:tcPr>
          <w:p>
            <w:pPr>
              <w:widowControl/>
              <w:spacing w:line="400" w:lineRule="exact"/>
              <w:jc w:val="center"/>
              <w:rPr>
                <w:rFonts w:cs="Arial" w:asciiTheme="minorEastAsia" w:hAnsiTheme="minorEastAsia" w:eastAsiaTheme="minorEastAsia"/>
                <w:b/>
                <w:color w:val="auto"/>
                <w:kern w:val="0"/>
                <w:sz w:val="18"/>
                <w:szCs w:val="18"/>
              </w:rPr>
            </w:pPr>
            <w:r>
              <w:rPr>
                <w:rFonts w:hint="eastAsia" w:cs="Arial" w:asciiTheme="minorEastAsia" w:hAnsiTheme="minorEastAsia" w:eastAsiaTheme="minorEastAsia"/>
                <w:b/>
                <w:color w:val="auto"/>
                <w:kern w:val="0"/>
                <w:sz w:val="18"/>
                <w:szCs w:val="18"/>
              </w:rPr>
              <w:t>项</w:t>
            </w:r>
            <w:r>
              <w:rPr>
                <w:rFonts w:cs="Arial" w:asciiTheme="minorEastAsia" w:hAnsiTheme="minorEastAsia" w:eastAsiaTheme="minorEastAsia"/>
                <w:b/>
                <w:color w:val="auto"/>
                <w:kern w:val="0"/>
                <w:sz w:val="18"/>
                <w:szCs w:val="18"/>
              </w:rPr>
              <w:t xml:space="preserve">   目</w:t>
            </w:r>
          </w:p>
        </w:tc>
        <w:tc>
          <w:tcPr>
            <w:tcW w:w="4353" w:type="dxa"/>
            <w:tcBorders>
              <w:top w:val="single" w:color="auto" w:sz="12" w:space="0"/>
              <w:bottom w:val="single" w:color="auto" w:sz="12" w:space="0"/>
            </w:tcBorders>
            <w:shd w:val="clear" w:color="auto" w:fill="auto"/>
            <w:vAlign w:val="center"/>
          </w:tcPr>
          <w:p>
            <w:pPr>
              <w:widowControl/>
              <w:spacing w:line="400" w:lineRule="exact"/>
              <w:jc w:val="center"/>
              <w:rPr>
                <w:rFonts w:cs="Arial" w:asciiTheme="minorEastAsia" w:hAnsiTheme="minorEastAsia" w:eastAsiaTheme="minorEastAsia"/>
                <w:b/>
                <w:color w:val="auto"/>
                <w:kern w:val="0"/>
                <w:sz w:val="18"/>
                <w:szCs w:val="18"/>
              </w:rPr>
            </w:pPr>
            <w:r>
              <w:rPr>
                <w:rFonts w:hint="eastAsia" w:cs="Arial" w:asciiTheme="minorEastAsia" w:hAnsiTheme="minorEastAsia" w:eastAsiaTheme="minorEastAsia"/>
                <w:b/>
                <w:color w:val="auto"/>
                <w:kern w:val="0"/>
                <w:sz w:val="18"/>
                <w:szCs w:val="18"/>
              </w:rPr>
              <w:t>相关内容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553" w:type="dxa"/>
            <w:tcBorders>
              <w:top w:val="single" w:color="auto" w:sz="12" w:space="0"/>
              <w:bottom w:val="single" w:color="auto" w:sz="4" w:space="0"/>
            </w:tcBorders>
            <w:shd w:val="clear" w:color="auto" w:fill="auto"/>
            <w:vAlign w:val="center"/>
          </w:tcPr>
          <w:p>
            <w:pPr>
              <w:widowControl/>
              <w:spacing w:line="400" w:lineRule="exact"/>
              <w:jc w:val="left"/>
              <w:rPr>
                <w:rFonts w:cs="Arial" w:asciiTheme="minorEastAsia" w:hAnsiTheme="minorEastAsia" w:eastAsiaTheme="minorEastAsia"/>
                <w:color w:val="auto"/>
                <w:kern w:val="0"/>
                <w:sz w:val="18"/>
                <w:szCs w:val="18"/>
              </w:rPr>
            </w:pPr>
            <w:r>
              <w:rPr>
                <w:rFonts w:hint="eastAsia" w:cs="Arial" w:asciiTheme="minorEastAsia" w:hAnsiTheme="minorEastAsia" w:eastAsiaTheme="minorEastAsia"/>
                <w:color w:val="auto"/>
                <w:kern w:val="0"/>
                <w:sz w:val="18"/>
                <w:szCs w:val="18"/>
              </w:rPr>
              <w:t>授予日权益工具公允价值的确定方法</w:t>
            </w:r>
          </w:p>
        </w:tc>
        <w:tc>
          <w:tcPr>
            <w:tcW w:w="4353" w:type="dxa"/>
            <w:tcBorders>
              <w:top w:val="single" w:color="auto" w:sz="12" w:space="0"/>
              <w:bottom w:val="single" w:color="auto" w:sz="4" w:space="0"/>
            </w:tcBorders>
            <w:shd w:val="clear" w:color="auto" w:fill="auto"/>
            <w:vAlign w:val="center"/>
          </w:tcPr>
          <w:p>
            <w:pPr>
              <w:widowControl/>
              <w:spacing w:line="400" w:lineRule="exact"/>
              <w:jc w:val="center"/>
              <w:rPr>
                <w:rFonts w:cs="Arial" w:asciiTheme="minorEastAsia" w:hAnsiTheme="minorEastAsia" w:eastAsiaTheme="minorEastAsia"/>
                <w:color w:val="auto"/>
                <w:kern w:val="0"/>
                <w:sz w:val="18"/>
                <w:szCs w:val="18"/>
              </w:rPr>
            </w:pPr>
            <w:r>
              <w:rPr>
                <w:rFonts w:hint="eastAsia" w:cs="Arial" w:asciiTheme="minorEastAsia" w:hAnsiTheme="minorEastAsia" w:eastAsiaTheme="minorEastAsia"/>
                <w:color w:val="auto"/>
                <w:kern w:val="0"/>
                <w:sz w:val="18"/>
                <w:szCs w:val="18"/>
              </w:rPr>
              <w:t>授予日股票市场价格与授予价格之差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553" w:type="dxa"/>
            <w:tcBorders>
              <w:top w:val="single" w:color="auto" w:sz="4" w:space="0"/>
              <w:bottom w:val="single" w:color="auto" w:sz="4" w:space="0"/>
            </w:tcBorders>
            <w:shd w:val="clear" w:color="auto" w:fill="auto"/>
            <w:vAlign w:val="center"/>
          </w:tcPr>
          <w:p>
            <w:pPr>
              <w:widowControl/>
              <w:spacing w:line="400" w:lineRule="exact"/>
              <w:jc w:val="left"/>
              <w:rPr>
                <w:rFonts w:cs="Arial" w:asciiTheme="minorEastAsia" w:hAnsiTheme="minorEastAsia" w:eastAsiaTheme="minorEastAsia"/>
                <w:color w:val="auto"/>
                <w:kern w:val="0"/>
                <w:sz w:val="18"/>
                <w:szCs w:val="18"/>
              </w:rPr>
            </w:pPr>
            <w:r>
              <w:rPr>
                <w:rFonts w:hint="eastAsia" w:cs="Arial" w:asciiTheme="minorEastAsia" w:hAnsiTheme="minorEastAsia" w:eastAsiaTheme="minorEastAsia"/>
                <w:color w:val="auto"/>
                <w:kern w:val="0"/>
                <w:sz w:val="18"/>
                <w:szCs w:val="18"/>
              </w:rPr>
              <w:t>可行权权益工具数量的确定依据</w:t>
            </w:r>
          </w:p>
        </w:tc>
        <w:tc>
          <w:tcPr>
            <w:tcW w:w="4353" w:type="dxa"/>
            <w:tcBorders>
              <w:top w:val="single" w:color="auto" w:sz="4" w:space="0"/>
              <w:bottom w:val="single" w:color="auto" w:sz="4" w:space="0"/>
            </w:tcBorders>
            <w:shd w:val="clear" w:color="auto" w:fill="auto"/>
            <w:vAlign w:val="center"/>
          </w:tcPr>
          <w:p>
            <w:pP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在职激励对象对应的权益工具、</w:t>
            </w:r>
            <w:r>
              <w:rPr>
                <w:rFonts w:asciiTheme="minorEastAsia" w:hAnsiTheme="minorEastAsia" w:eastAsiaTheme="minorEastAsia"/>
                <w:color w:val="auto"/>
                <w:sz w:val="18"/>
                <w:szCs w:val="18"/>
              </w:rPr>
              <w:t>202</w:t>
            </w:r>
            <w:r>
              <w:rPr>
                <w:rFonts w:hint="eastAsia" w:asciiTheme="minorEastAsia" w:hAnsiTheme="minorEastAsia" w:eastAsiaTheme="minorEastAsia"/>
                <w:color w:val="auto"/>
                <w:sz w:val="18"/>
                <w:szCs w:val="18"/>
              </w:rPr>
              <w:t>2</w:t>
            </w:r>
            <w:r>
              <w:rPr>
                <w:rFonts w:asciiTheme="minorEastAsia" w:hAnsiTheme="minorEastAsia" w:eastAsiaTheme="minorEastAsia"/>
                <w:color w:val="auto"/>
                <w:sz w:val="18"/>
                <w:szCs w:val="18"/>
              </w:rPr>
              <w:t>年度公司业绩及未来年度公司业绩的预测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553" w:type="dxa"/>
            <w:tcBorders>
              <w:top w:val="single" w:color="auto" w:sz="4" w:space="0"/>
            </w:tcBorders>
            <w:shd w:val="clear" w:color="auto" w:fill="auto"/>
            <w:vAlign w:val="center"/>
          </w:tcPr>
          <w:p>
            <w:pPr>
              <w:widowControl/>
              <w:spacing w:line="400" w:lineRule="exact"/>
              <w:jc w:val="left"/>
              <w:rPr>
                <w:rFonts w:cs="Arial" w:asciiTheme="minorEastAsia" w:hAnsiTheme="minorEastAsia" w:eastAsiaTheme="minorEastAsia"/>
                <w:color w:val="auto"/>
                <w:kern w:val="0"/>
                <w:sz w:val="18"/>
                <w:szCs w:val="18"/>
              </w:rPr>
            </w:pPr>
            <w:r>
              <w:rPr>
                <w:rFonts w:hint="eastAsia" w:cs="Arial" w:asciiTheme="minorEastAsia" w:hAnsiTheme="minorEastAsia" w:eastAsiaTheme="minorEastAsia"/>
                <w:color w:val="auto"/>
                <w:kern w:val="0"/>
                <w:sz w:val="18"/>
                <w:szCs w:val="18"/>
              </w:rPr>
              <w:t>本年估计与上年估计有重大差异的原因</w:t>
            </w:r>
          </w:p>
        </w:tc>
        <w:tc>
          <w:tcPr>
            <w:tcW w:w="4353" w:type="dxa"/>
            <w:tcBorders>
              <w:top w:val="single" w:color="auto" w:sz="4" w:space="0"/>
            </w:tcBorders>
            <w:shd w:val="clear" w:color="auto" w:fill="auto"/>
            <w:vAlign w:val="bottom"/>
          </w:tcPr>
          <w:p>
            <w:pPr>
              <w:jc w:val="right"/>
              <w:rPr>
                <w:rFonts w:ascii="宋体" w:hAnsi="宋体" w:cs="宋体"/>
                <w:color w:val="auto"/>
                <w:sz w:val="18"/>
                <w:szCs w:val="18"/>
              </w:rPr>
            </w:pPr>
            <w:r>
              <w:rPr>
                <w:rFonts w:hint="eastAsia"/>
                <w:color w:val="auto"/>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553" w:type="dxa"/>
            <w:shd w:val="clear" w:color="auto" w:fill="auto"/>
            <w:vAlign w:val="center"/>
          </w:tcPr>
          <w:p>
            <w:pPr>
              <w:widowControl/>
              <w:spacing w:line="400" w:lineRule="exact"/>
              <w:jc w:val="left"/>
              <w:rPr>
                <w:rFonts w:cs="Arial" w:asciiTheme="minorEastAsia" w:hAnsiTheme="minorEastAsia" w:eastAsiaTheme="minorEastAsia"/>
                <w:color w:val="auto"/>
                <w:kern w:val="0"/>
                <w:sz w:val="18"/>
                <w:szCs w:val="18"/>
              </w:rPr>
            </w:pPr>
            <w:r>
              <w:rPr>
                <w:rFonts w:hint="eastAsia" w:cs="Arial" w:asciiTheme="minorEastAsia" w:hAnsiTheme="minorEastAsia" w:eastAsiaTheme="minorEastAsia"/>
                <w:color w:val="auto"/>
                <w:kern w:val="0"/>
                <w:sz w:val="18"/>
                <w:szCs w:val="18"/>
              </w:rPr>
              <w:t>以权益结算的股份支付计入资本公积的累计金额</w:t>
            </w:r>
          </w:p>
        </w:tc>
        <w:tc>
          <w:tcPr>
            <w:tcW w:w="4353" w:type="dxa"/>
            <w:shd w:val="clear" w:color="auto" w:fill="auto"/>
            <w:vAlign w:val="bottom"/>
          </w:tcPr>
          <w:p>
            <w:pPr>
              <w:jc w:val="center"/>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7,339,950.35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553" w:type="dxa"/>
            <w:shd w:val="clear" w:color="auto" w:fill="auto"/>
            <w:vAlign w:val="center"/>
          </w:tcPr>
          <w:p>
            <w:pPr>
              <w:widowControl/>
              <w:spacing w:line="400" w:lineRule="exact"/>
              <w:jc w:val="left"/>
              <w:rPr>
                <w:rFonts w:cs="Arial" w:asciiTheme="minorEastAsia" w:hAnsiTheme="minorEastAsia" w:eastAsiaTheme="minorEastAsia"/>
                <w:color w:val="auto"/>
                <w:kern w:val="0"/>
                <w:sz w:val="18"/>
                <w:szCs w:val="18"/>
              </w:rPr>
            </w:pPr>
            <w:r>
              <w:rPr>
                <w:rFonts w:hint="eastAsia" w:cs="Arial" w:asciiTheme="minorEastAsia" w:hAnsiTheme="minorEastAsia" w:eastAsiaTheme="minorEastAsia"/>
                <w:color w:val="auto"/>
                <w:kern w:val="0"/>
                <w:sz w:val="18"/>
                <w:szCs w:val="18"/>
              </w:rPr>
              <w:t>本年以权益结算的股份支付确认的费用总额</w:t>
            </w:r>
          </w:p>
        </w:tc>
        <w:tc>
          <w:tcPr>
            <w:tcW w:w="4353" w:type="dxa"/>
            <w:shd w:val="clear" w:color="auto" w:fill="auto"/>
            <w:vAlign w:val="bottom"/>
          </w:tcPr>
          <w:p>
            <w:pPr>
              <w:jc w:val="center"/>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6,284,817.01</w:t>
            </w:r>
          </w:p>
        </w:tc>
      </w:tr>
    </w:tbl>
    <w:p>
      <w:pPr>
        <w:tabs>
          <w:tab w:val="left" w:pos="3570"/>
        </w:tabs>
        <w:spacing w:before="150" w:beforeLines="50" w:after="150" w:afterLines="50" w:line="360" w:lineRule="auto"/>
        <w:ind w:firstLine="420" w:firstLineChars="200"/>
        <w:rPr>
          <w:rFonts w:cs="Arial" w:asciiTheme="minorEastAsia" w:hAnsiTheme="minorEastAsia" w:eastAsiaTheme="minorEastAsia"/>
          <w:b/>
          <w:color w:val="auto"/>
          <w:szCs w:val="21"/>
        </w:rPr>
      </w:pPr>
      <w:r>
        <w:rPr>
          <w:rFonts w:hint="eastAsia" w:cs="Arial" w:asciiTheme="minorEastAsia" w:hAnsiTheme="minorEastAsia" w:eastAsiaTheme="minorEastAsia"/>
          <w:b/>
          <w:color w:val="auto"/>
          <w:szCs w:val="21"/>
        </w:rPr>
        <w:t>3、本期无股份支付的修改、终止情况。</w:t>
      </w:r>
    </w:p>
    <w:p>
      <w:pPr>
        <w:spacing w:before="150" w:beforeLines="50" w:after="150" w:afterLines="50" w:line="360" w:lineRule="auto"/>
        <w:ind w:firstLine="480" w:firstLineChars="200"/>
        <w:outlineLvl w:val="0"/>
        <w:rPr>
          <w:rFonts w:cs="Arial" w:asciiTheme="minorEastAsia" w:hAnsiTheme="minorEastAsia" w:eastAsiaTheme="minorEastAsia"/>
          <w:b/>
          <w:bCs/>
          <w:color w:val="auto"/>
          <w:sz w:val="24"/>
          <w:szCs w:val="24"/>
        </w:rPr>
      </w:pPr>
      <w:r>
        <w:rPr>
          <w:rFonts w:hint="eastAsia" w:cs="Arial" w:asciiTheme="minorEastAsia" w:hAnsiTheme="minorEastAsia" w:eastAsiaTheme="minorEastAsia"/>
          <w:b/>
          <w:bCs/>
          <w:color w:val="auto"/>
          <w:sz w:val="24"/>
          <w:szCs w:val="24"/>
        </w:rPr>
        <w:t>十二、或有事项</w:t>
      </w:r>
    </w:p>
    <w:p>
      <w:pPr>
        <w:spacing w:before="150" w:beforeLines="50" w:after="150" w:afterLines="50" w:line="360" w:lineRule="auto"/>
        <w:ind w:firstLine="420" w:firstLineChars="200"/>
        <w:rPr>
          <w:rFonts w:ascii="宋体" w:hAnsi="宋体"/>
          <w:snapToGrid w:val="0"/>
          <w:color w:val="auto"/>
          <w:kern w:val="0"/>
        </w:rPr>
      </w:pPr>
      <w:r>
        <w:rPr>
          <w:rFonts w:hint="eastAsia" w:ascii="宋体" w:hAnsi="宋体"/>
          <w:snapToGrid w:val="0"/>
          <w:color w:val="auto"/>
          <w:kern w:val="0"/>
        </w:rPr>
        <w:t>截至</w:t>
      </w:r>
      <w:r>
        <w:rPr>
          <w:rFonts w:ascii="宋体" w:hAnsi="宋体"/>
          <w:snapToGrid w:val="0"/>
          <w:color w:val="auto"/>
          <w:kern w:val="0"/>
        </w:rPr>
        <w:t>20</w:t>
      </w:r>
      <w:r>
        <w:rPr>
          <w:rFonts w:hint="eastAsia" w:ascii="宋体" w:hAnsi="宋体"/>
          <w:snapToGrid w:val="0"/>
          <w:color w:val="auto"/>
          <w:kern w:val="0"/>
        </w:rPr>
        <w:t>2</w:t>
      </w:r>
      <w:r>
        <w:rPr>
          <w:rFonts w:ascii="宋体" w:hAnsi="宋体"/>
          <w:snapToGrid w:val="0"/>
          <w:color w:val="auto"/>
          <w:kern w:val="0"/>
        </w:rPr>
        <w:t>2年12月31日</w:t>
      </w:r>
      <w:r>
        <w:rPr>
          <w:rFonts w:hint="eastAsia" w:ascii="宋体" w:hAnsi="宋体"/>
          <w:snapToGrid w:val="0"/>
          <w:color w:val="auto"/>
          <w:kern w:val="0"/>
        </w:rPr>
        <w:t>，公司不存在需要披露的重大或有事项。</w:t>
      </w:r>
    </w:p>
    <w:p>
      <w:pPr>
        <w:spacing w:before="150" w:beforeLines="50" w:after="150" w:afterLines="50" w:line="360" w:lineRule="auto"/>
        <w:ind w:firstLine="480" w:firstLineChars="200"/>
        <w:outlineLvl w:val="0"/>
        <w:rPr>
          <w:rFonts w:cs="Arial" w:asciiTheme="minorEastAsia" w:hAnsiTheme="minorEastAsia" w:eastAsiaTheme="minorEastAsia"/>
          <w:b/>
          <w:bCs/>
          <w:color w:val="auto"/>
          <w:sz w:val="24"/>
          <w:szCs w:val="24"/>
        </w:rPr>
      </w:pPr>
      <w:r>
        <w:rPr>
          <w:rFonts w:hint="eastAsia" w:cs="Arial" w:asciiTheme="minorEastAsia" w:hAnsiTheme="minorEastAsia" w:eastAsiaTheme="minorEastAsia"/>
          <w:b/>
          <w:bCs/>
          <w:color w:val="auto"/>
          <w:sz w:val="24"/>
          <w:szCs w:val="24"/>
        </w:rPr>
        <w:t>十三、承诺事项</w:t>
      </w:r>
    </w:p>
    <w:p>
      <w:pPr>
        <w:spacing w:before="150" w:beforeLines="50" w:after="150" w:afterLines="50" w:line="360" w:lineRule="auto"/>
        <w:ind w:firstLine="420" w:firstLineChars="200"/>
        <w:rPr>
          <w:rFonts w:ascii="宋体" w:hAnsi="宋体"/>
          <w:snapToGrid w:val="0"/>
          <w:color w:val="auto"/>
          <w:kern w:val="0"/>
        </w:rPr>
      </w:pPr>
      <w:r>
        <w:rPr>
          <w:rFonts w:hint="eastAsia" w:ascii="宋体" w:hAnsi="宋体"/>
          <w:snapToGrid w:val="0"/>
          <w:color w:val="auto"/>
          <w:kern w:val="0"/>
        </w:rPr>
        <w:t>截至</w:t>
      </w:r>
      <w:r>
        <w:rPr>
          <w:rFonts w:ascii="宋体" w:hAnsi="宋体"/>
          <w:snapToGrid w:val="0"/>
          <w:color w:val="auto"/>
          <w:kern w:val="0"/>
        </w:rPr>
        <w:t>20</w:t>
      </w:r>
      <w:r>
        <w:rPr>
          <w:rFonts w:hint="eastAsia" w:ascii="宋体" w:hAnsi="宋体"/>
          <w:snapToGrid w:val="0"/>
          <w:color w:val="auto"/>
          <w:kern w:val="0"/>
        </w:rPr>
        <w:t>2</w:t>
      </w:r>
      <w:r>
        <w:rPr>
          <w:rFonts w:ascii="宋体" w:hAnsi="宋体"/>
          <w:snapToGrid w:val="0"/>
          <w:color w:val="auto"/>
          <w:kern w:val="0"/>
        </w:rPr>
        <w:t>2年</w:t>
      </w:r>
      <w:r>
        <w:rPr>
          <w:rFonts w:hint="eastAsia" w:ascii="宋体" w:hAnsi="宋体"/>
          <w:snapToGrid w:val="0"/>
          <w:color w:val="auto"/>
          <w:kern w:val="0"/>
        </w:rPr>
        <w:t>12</w:t>
      </w:r>
      <w:r>
        <w:rPr>
          <w:rFonts w:ascii="宋体" w:hAnsi="宋体"/>
          <w:snapToGrid w:val="0"/>
          <w:color w:val="auto"/>
          <w:kern w:val="0"/>
        </w:rPr>
        <w:t>月3</w:t>
      </w:r>
      <w:r>
        <w:rPr>
          <w:rFonts w:hint="eastAsia" w:ascii="宋体" w:hAnsi="宋体"/>
          <w:snapToGrid w:val="0"/>
          <w:color w:val="auto"/>
          <w:kern w:val="0"/>
        </w:rPr>
        <w:t>1</w:t>
      </w:r>
      <w:r>
        <w:rPr>
          <w:rFonts w:ascii="宋体" w:hAnsi="宋体"/>
          <w:snapToGrid w:val="0"/>
          <w:color w:val="auto"/>
          <w:kern w:val="0"/>
        </w:rPr>
        <w:t>日</w:t>
      </w:r>
      <w:r>
        <w:rPr>
          <w:rFonts w:hint="eastAsia" w:ascii="宋体" w:hAnsi="宋体"/>
          <w:snapToGrid w:val="0"/>
          <w:color w:val="auto"/>
          <w:kern w:val="0"/>
        </w:rPr>
        <w:t>，公司无影响本财务报表阅读和理解的重大承诺事项。</w:t>
      </w:r>
    </w:p>
    <w:p>
      <w:pPr>
        <w:spacing w:before="150" w:beforeLines="50" w:after="150" w:afterLines="50" w:line="360" w:lineRule="auto"/>
        <w:ind w:firstLine="480" w:firstLineChars="200"/>
        <w:outlineLvl w:val="0"/>
        <w:rPr>
          <w:rFonts w:cs="Arial" w:asciiTheme="minorEastAsia" w:hAnsiTheme="minorEastAsia" w:eastAsiaTheme="minorEastAsia"/>
          <w:b/>
          <w:bCs/>
          <w:color w:val="auto"/>
          <w:sz w:val="24"/>
          <w:szCs w:val="24"/>
        </w:rPr>
      </w:pPr>
      <w:r>
        <w:rPr>
          <w:rFonts w:hint="eastAsia" w:cs="Arial" w:asciiTheme="minorEastAsia" w:hAnsiTheme="minorEastAsia" w:eastAsiaTheme="minorEastAsia"/>
          <w:b/>
          <w:bCs/>
          <w:color w:val="auto"/>
          <w:sz w:val="24"/>
          <w:szCs w:val="24"/>
        </w:rPr>
        <w:t>十四、资产负债表日后事项</w:t>
      </w:r>
    </w:p>
    <w:p>
      <w:pPr>
        <w:spacing w:line="360" w:lineRule="auto"/>
        <w:ind w:firstLine="420" w:firstLineChars="200"/>
        <w:rPr>
          <w:rFonts w:ascii="宋体" w:hAnsi="宋体"/>
          <w:snapToGrid w:val="0"/>
          <w:color w:val="auto"/>
          <w:kern w:val="0"/>
        </w:rPr>
      </w:pPr>
      <w:r>
        <w:rPr>
          <w:rFonts w:hint="eastAsia" w:ascii="宋体" w:hAnsi="宋体"/>
          <w:snapToGrid w:val="0"/>
          <w:color w:val="auto"/>
          <w:kern w:val="0"/>
        </w:rPr>
        <w:t>公司202</w:t>
      </w:r>
      <w:r>
        <w:rPr>
          <w:rFonts w:ascii="宋体" w:hAnsi="宋体"/>
          <w:snapToGrid w:val="0"/>
          <w:color w:val="auto"/>
          <w:kern w:val="0"/>
        </w:rPr>
        <w:t>2</w:t>
      </w:r>
      <w:r>
        <w:rPr>
          <w:rFonts w:hint="eastAsia" w:ascii="宋体" w:hAnsi="宋体"/>
          <w:snapToGrid w:val="0"/>
          <w:color w:val="auto"/>
          <w:kern w:val="0"/>
        </w:rPr>
        <w:t>年度利润分配预案为：以 202</w:t>
      </w:r>
      <w:r>
        <w:rPr>
          <w:rFonts w:ascii="宋体" w:hAnsi="宋体"/>
          <w:snapToGrid w:val="0"/>
          <w:color w:val="auto"/>
          <w:kern w:val="0"/>
        </w:rPr>
        <w:t>2</w:t>
      </w:r>
      <w:r>
        <w:rPr>
          <w:rFonts w:hint="eastAsia" w:ascii="宋体" w:hAnsi="宋体"/>
          <w:snapToGrid w:val="0"/>
          <w:color w:val="auto"/>
          <w:kern w:val="0"/>
        </w:rPr>
        <w:t>年12月31日公司总股本</w:t>
      </w:r>
      <w:r>
        <w:rPr>
          <w:rFonts w:ascii="宋体" w:hAnsi="宋体"/>
          <w:snapToGrid w:val="0"/>
          <w:color w:val="auto"/>
          <w:kern w:val="0"/>
        </w:rPr>
        <w:t>168,877,148.00</w:t>
      </w:r>
      <w:r>
        <w:rPr>
          <w:rFonts w:hint="eastAsia" w:ascii="宋体" w:hAnsi="宋体"/>
          <w:snapToGrid w:val="0"/>
          <w:color w:val="auto"/>
          <w:kern w:val="0"/>
        </w:rPr>
        <w:t>股为基数，向全体股东每10股派息3.00元（含税）,共派发现金红利</w:t>
      </w:r>
      <w:r>
        <w:rPr>
          <w:rFonts w:ascii="宋体" w:hAnsi="宋体"/>
          <w:snapToGrid w:val="0"/>
          <w:color w:val="auto"/>
          <w:kern w:val="0"/>
        </w:rPr>
        <w:t>5,066.31万</w:t>
      </w:r>
      <w:r>
        <w:rPr>
          <w:rFonts w:hint="eastAsia" w:ascii="宋体" w:hAnsi="宋体"/>
          <w:snapToGrid w:val="0"/>
          <w:color w:val="auto"/>
          <w:kern w:val="0"/>
        </w:rPr>
        <w:t>元，同时以资本公积向全体股东每10股转增3.00股，共计转增</w:t>
      </w:r>
      <w:r>
        <w:rPr>
          <w:rFonts w:ascii="宋体" w:hAnsi="宋体"/>
          <w:snapToGrid w:val="0"/>
          <w:color w:val="auto"/>
          <w:kern w:val="0"/>
        </w:rPr>
        <w:t>5,066.31万</w:t>
      </w:r>
      <w:r>
        <w:rPr>
          <w:rFonts w:hint="eastAsia" w:ascii="宋体" w:hAnsi="宋体"/>
          <w:snapToGrid w:val="0"/>
          <w:color w:val="auto"/>
          <w:kern w:val="0"/>
        </w:rPr>
        <w:t>股。本次利润分配预案尚需公司202</w:t>
      </w:r>
      <w:r>
        <w:rPr>
          <w:rFonts w:ascii="宋体" w:hAnsi="宋体"/>
          <w:snapToGrid w:val="0"/>
          <w:color w:val="auto"/>
          <w:kern w:val="0"/>
        </w:rPr>
        <w:t>2</w:t>
      </w:r>
      <w:r>
        <w:rPr>
          <w:rFonts w:hint="eastAsia" w:ascii="宋体" w:hAnsi="宋体"/>
          <w:snapToGrid w:val="0"/>
          <w:color w:val="auto"/>
          <w:kern w:val="0"/>
        </w:rPr>
        <w:t>年度股东大会审议。</w:t>
      </w:r>
    </w:p>
    <w:p>
      <w:pPr>
        <w:spacing w:before="150" w:beforeLines="50" w:after="150" w:afterLines="50" w:line="360" w:lineRule="auto"/>
        <w:ind w:firstLine="480" w:firstLineChars="200"/>
        <w:outlineLvl w:val="0"/>
        <w:rPr>
          <w:rFonts w:cs="Arial" w:asciiTheme="minorEastAsia" w:hAnsiTheme="minorEastAsia" w:eastAsiaTheme="minorEastAsia"/>
          <w:b/>
          <w:bCs/>
          <w:color w:val="auto"/>
          <w:sz w:val="24"/>
          <w:szCs w:val="24"/>
        </w:rPr>
      </w:pPr>
      <w:r>
        <w:rPr>
          <w:rFonts w:hint="eastAsia" w:cs="Arial" w:asciiTheme="minorEastAsia" w:hAnsiTheme="minorEastAsia" w:eastAsiaTheme="minorEastAsia"/>
          <w:b/>
          <w:bCs/>
          <w:color w:val="auto"/>
          <w:sz w:val="24"/>
          <w:szCs w:val="24"/>
        </w:rPr>
        <w:t>十五、其他重要信息</w:t>
      </w:r>
    </w:p>
    <w:p>
      <w:pPr>
        <w:spacing w:before="150" w:beforeLines="50" w:after="150" w:afterLines="50" w:line="360" w:lineRule="auto"/>
        <w:ind w:firstLine="464" w:firstLineChars="221"/>
        <w:rPr>
          <w:rFonts w:ascii="宋体" w:hAnsi="宋体"/>
          <w:b/>
          <w:color w:val="auto"/>
          <w:szCs w:val="21"/>
        </w:rPr>
      </w:pPr>
      <w:r>
        <w:rPr>
          <w:rFonts w:hint="eastAsia" w:ascii="宋体" w:hAnsi="宋体"/>
          <w:b/>
          <w:color w:val="auto"/>
          <w:szCs w:val="21"/>
        </w:rPr>
        <w:t>（一）分部信息</w:t>
      </w:r>
    </w:p>
    <w:p>
      <w:pPr>
        <w:spacing w:before="150" w:beforeLines="50" w:after="150" w:afterLines="50" w:line="360" w:lineRule="auto"/>
        <w:ind w:firstLine="478" w:firstLineChars="228"/>
        <w:rPr>
          <w:rFonts w:ascii="宋体" w:hAnsi="宋体"/>
          <w:snapToGrid w:val="0"/>
          <w:color w:val="auto"/>
          <w:kern w:val="0"/>
        </w:rPr>
      </w:pPr>
      <w:r>
        <w:rPr>
          <w:rFonts w:hint="eastAsia" w:ascii="宋体" w:hAnsi="宋体"/>
          <w:snapToGrid w:val="0"/>
          <w:color w:val="auto"/>
          <w:kern w:val="0"/>
        </w:rPr>
        <w:t>公司为阀门及相关产品制造企业，主要产品为阀门、过滤器、毛坯铸件等，生产经营主体主要在国内，无分部报告。</w:t>
      </w:r>
    </w:p>
    <w:p>
      <w:pPr>
        <w:spacing w:before="150" w:beforeLines="50" w:after="150" w:afterLines="50" w:line="360" w:lineRule="auto"/>
        <w:ind w:firstLine="464" w:firstLineChars="221"/>
        <w:rPr>
          <w:rFonts w:ascii="宋体" w:hAnsi="宋体"/>
          <w:b/>
          <w:color w:val="auto"/>
          <w:szCs w:val="21"/>
        </w:rPr>
      </w:pPr>
      <w:r>
        <w:rPr>
          <w:rFonts w:hint="eastAsia" w:ascii="宋体" w:hAnsi="宋体"/>
          <w:b/>
          <w:color w:val="auto"/>
          <w:szCs w:val="21"/>
        </w:rPr>
        <w:t>（二）其他对投资者决策有影响的重要交易和事项</w:t>
      </w:r>
    </w:p>
    <w:p>
      <w:pPr>
        <w:spacing w:before="150" w:beforeLines="50" w:after="150" w:afterLines="50" w:line="360" w:lineRule="auto"/>
        <w:ind w:firstLine="525" w:firstLineChars="250"/>
        <w:rPr>
          <w:rFonts w:ascii="宋体" w:hAnsi="宋体"/>
          <w:color w:val="auto"/>
          <w:szCs w:val="21"/>
        </w:rPr>
      </w:pPr>
      <w:r>
        <w:rPr>
          <w:rFonts w:hint="eastAsia" w:ascii="宋体" w:hAnsi="宋体"/>
          <w:color w:val="auto"/>
          <w:szCs w:val="21"/>
        </w:rPr>
        <w:t>公司无其他对投资者决策有重大影响的重要交易和事项。</w:t>
      </w:r>
    </w:p>
    <w:p>
      <w:pPr>
        <w:spacing w:before="150" w:beforeLines="50" w:after="150" w:afterLines="50" w:line="360" w:lineRule="auto"/>
        <w:ind w:firstLine="480" w:firstLineChars="200"/>
        <w:outlineLvl w:val="0"/>
        <w:rPr>
          <w:rFonts w:cs="Arial" w:asciiTheme="minorEastAsia" w:hAnsiTheme="minorEastAsia" w:eastAsiaTheme="minorEastAsia"/>
          <w:b/>
          <w:bCs/>
          <w:color w:val="auto"/>
          <w:sz w:val="24"/>
          <w:szCs w:val="24"/>
        </w:rPr>
      </w:pPr>
      <w:r>
        <w:rPr>
          <w:rFonts w:hint="eastAsia" w:cs="Arial" w:asciiTheme="minorEastAsia" w:hAnsiTheme="minorEastAsia" w:eastAsiaTheme="minorEastAsia"/>
          <w:b/>
          <w:bCs/>
          <w:color w:val="auto"/>
          <w:sz w:val="24"/>
          <w:szCs w:val="24"/>
        </w:rPr>
        <w:t>十六、母公司财务报表主要项目注释</w:t>
      </w:r>
    </w:p>
    <w:p>
      <w:pPr>
        <w:spacing w:line="360" w:lineRule="auto"/>
        <w:ind w:firstLine="482"/>
        <w:rPr>
          <w:rFonts w:ascii="宋体"/>
          <w:b/>
          <w:color w:val="auto"/>
          <w:szCs w:val="21"/>
        </w:rPr>
      </w:pPr>
      <w:r>
        <w:rPr>
          <w:rFonts w:hint="eastAsia" w:ascii="宋体" w:hAnsi="宋体"/>
          <w:color w:val="auto"/>
          <w:szCs w:val="21"/>
        </w:rPr>
        <w:t>下列注释项目除特别注明的外，期初数系指</w:t>
      </w:r>
      <w:r>
        <w:rPr>
          <w:rFonts w:ascii="宋体" w:hAnsi="宋体"/>
          <w:color w:val="auto"/>
          <w:szCs w:val="21"/>
        </w:rPr>
        <w:t>20</w:t>
      </w:r>
      <w:r>
        <w:rPr>
          <w:rFonts w:hint="eastAsia" w:ascii="宋体" w:hAnsi="宋体"/>
          <w:color w:val="auto"/>
          <w:szCs w:val="21"/>
        </w:rPr>
        <w:t>2</w:t>
      </w:r>
      <w:r>
        <w:rPr>
          <w:rFonts w:ascii="宋体" w:hAnsi="宋体"/>
          <w:color w:val="auto"/>
          <w:szCs w:val="21"/>
        </w:rPr>
        <w:t>2</w:t>
      </w:r>
      <w:r>
        <w:rPr>
          <w:rFonts w:hint="eastAsia" w:ascii="宋体" w:hAnsi="宋体"/>
          <w:color w:val="auto"/>
          <w:szCs w:val="21"/>
        </w:rPr>
        <w:t>年</w:t>
      </w:r>
      <w:r>
        <w:rPr>
          <w:rFonts w:ascii="宋体" w:hAnsi="宋体"/>
          <w:color w:val="auto"/>
          <w:szCs w:val="21"/>
        </w:rPr>
        <w:t>1</w:t>
      </w:r>
      <w:r>
        <w:rPr>
          <w:rFonts w:hint="eastAsia" w:ascii="宋体" w:hAnsi="宋体"/>
          <w:color w:val="auto"/>
          <w:szCs w:val="21"/>
        </w:rPr>
        <w:t>月</w:t>
      </w:r>
      <w:r>
        <w:rPr>
          <w:rFonts w:ascii="宋体" w:hAnsi="宋体"/>
          <w:color w:val="auto"/>
          <w:szCs w:val="21"/>
        </w:rPr>
        <w:t>1</w:t>
      </w:r>
      <w:r>
        <w:rPr>
          <w:rFonts w:hint="eastAsia" w:ascii="宋体" w:hAnsi="宋体"/>
          <w:color w:val="auto"/>
          <w:szCs w:val="21"/>
        </w:rPr>
        <w:t>日，期末数系指</w:t>
      </w:r>
      <w:r>
        <w:rPr>
          <w:rFonts w:ascii="宋体" w:hAnsi="宋体"/>
          <w:color w:val="auto"/>
          <w:szCs w:val="21"/>
        </w:rPr>
        <w:t>20</w:t>
      </w:r>
      <w:r>
        <w:rPr>
          <w:rFonts w:hint="eastAsia" w:ascii="宋体" w:hAnsi="宋体"/>
          <w:color w:val="auto"/>
          <w:szCs w:val="21"/>
        </w:rPr>
        <w:t>2</w:t>
      </w:r>
      <w:r>
        <w:rPr>
          <w:rFonts w:ascii="宋体" w:hAnsi="宋体"/>
          <w:color w:val="auto"/>
          <w:szCs w:val="21"/>
        </w:rPr>
        <w:t>2年</w:t>
      </w:r>
      <w:r>
        <w:rPr>
          <w:rFonts w:hint="eastAsia" w:ascii="宋体" w:hAnsi="宋体"/>
          <w:color w:val="auto"/>
          <w:szCs w:val="21"/>
        </w:rPr>
        <w:t>12</w:t>
      </w:r>
      <w:r>
        <w:rPr>
          <w:rFonts w:ascii="宋体" w:hAnsi="宋体"/>
          <w:color w:val="auto"/>
          <w:szCs w:val="21"/>
        </w:rPr>
        <w:t>月3</w:t>
      </w:r>
      <w:r>
        <w:rPr>
          <w:rFonts w:hint="eastAsia" w:ascii="宋体" w:hAnsi="宋体"/>
          <w:color w:val="auto"/>
          <w:szCs w:val="21"/>
        </w:rPr>
        <w:t>1</w:t>
      </w:r>
      <w:r>
        <w:rPr>
          <w:rFonts w:ascii="宋体" w:hAnsi="宋体"/>
          <w:color w:val="auto"/>
          <w:szCs w:val="21"/>
        </w:rPr>
        <w:t>日</w:t>
      </w:r>
      <w:r>
        <w:rPr>
          <w:rFonts w:hint="eastAsia" w:ascii="宋体" w:hAnsi="宋体"/>
          <w:color w:val="auto"/>
          <w:szCs w:val="21"/>
        </w:rPr>
        <w:t>；未注明货币单位的均为人民币元。</w:t>
      </w:r>
    </w:p>
    <w:p>
      <w:pPr>
        <w:pStyle w:val="5"/>
        <w:spacing w:before="150" w:beforeLines="50" w:after="150" w:afterLines="50" w:line="460" w:lineRule="exact"/>
        <w:ind w:firstLine="480" w:firstLineChars="200"/>
        <w:outlineLvl w:val="1"/>
        <w:rPr>
          <w:rFonts w:ascii="宋体" w:hAnsi="宋体" w:eastAsia="宋体"/>
          <w:b/>
          <w:color w:val="auto"/>
          <w:sz w:val="24"/>
          <w:szCs w:val="24"/>
        </w:rPr>
      </w:pPr>
      <w:r>
        <w:rPr>
          <w:rFonts w:hint="eastAsia" w:ascii="宋体" w:hAnsi="宋体" w:eastAsia="宋体"/>
          <w:b/>
          <w:color w:val="auto"/>
          <w:sz w:val="24"/>
          <w:szCs w:val="24"/>
        </w:rPr>
        <w:t>1、应收账款</w:t>
      </w:r>
    </w:p>
    <w:p>
      <w:pPr>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（1）应收账款分类披露：</w:t>
      </w:r>
    </w:p>
    <w:tbl>
      <w:tblPr>
        <w:tblStyle w:val="9"/>
        <w:tblW w:w="0" w:type="auto"/>
        <w:tblCaption w:val="&quot;\\lisheng\共享\1、伟隆2022年度审计\1、2022年度审计\1、附注及报告\2022年\附注计算-伟隆 - 2022.xlsx&quot; &quot;2022附注格式!_ReportTable_0110&quot;"/>
        <w:tblDescription w:val="A996:F1001"/>
        <w:tblInd w:w="0" w:type="dxa"/>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Layout w:type="fixed"/>
        <w:tblCellMar>
          <w:top w:w="0" w:type="dxa"/>
          <w:left w:w="107" w:type="dxa"/>
          <w:bottom w:w="0" w:type="dxa"/>
          <w:right w:w="107" w:type="dxa"/>
        </w:tblCellMar>
      </w:tblPr>
      <w:tblGrid>
        <w:gridCol w:w="2234"/>
        <w:gridCol w:w="1559"/>
        <w:gridCol w:w="992"/>
        <w:gridCol w:w="1418"/>
        <w:gridCol w:w="1275"/>
        <w:gridCol w:w="1560"/>
      </w:tblGrid>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vMerge w:val="restart"/>
            <w:tcBorders>
              <w:top w:val="single" w:color="000000"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类别</w:t>
            </w:r>
          </w:p>
        </w:tc>
        <w:tc>
          <w:tcPr>
            <w:tcW w:w="6804" w:type="dxa"/>
            <w:gridSpan w:val="5"/>
            <w:tcBorders>
              <w:top w:val="single" w:color="auto" w:sz="12" w:space="0"/>
              <w:left w:val="single" w:color="000000" w:sz="4" w:space="0"/>
              <w:bottom w:val="single" w:color="auto"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期末余额</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vMerge w:val="continue"/>
            <w:tcBorders>
              <w:right w:val="single" w:color="000000" w:sz="4" w:space="0"/>
            </w:tcBorders>
            <w:vAlign w:val="center"/>
          </w:tcPr>
          <w:p>
            <w:pPr>
              <w:jc w:val="center"/>
              <w:rPr>
                <w:rFonts w:ascii="宋体" w:hAnsi="宋体" w:cs="宋体"/>
                <w:b/>
                <w:bCs/>
                <w:color w:val="auto"/>
                <w:sz w:val="18"/>
                <w:szCs w:val="18"/>
              </w:rPr>
            </w:pPr>
          </w:p>
        </w:tc>
        <w:tc>
          <w:tcPr>
            <w:tcW w:w="2551"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账面余额</w:t>
            </w:r>
          </w:p>
        </w:tc>
        <w:tc>
          <w:tcPr>
            <w:tcW w:w="2693"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坏账准备</w:t>
            </w:r>
          </w:p>
        </w:tc>
        <w:tc>
          <w:tcPr>
            <w:tcW w:w="1560" w:type="dxa"/>
            <w:vMerge w:val="restart"/>
            <w:tcBorders>
              <w:top w:val="single" w:color="auto" w:sz="4" w:space="0"/>
              <w:lef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账面价值</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vMerge w:val="continue"/>
            <w:tcBorders>
              <w:bottom w:val="single" w:color="auto" w:sz="12" w:space="0"/>
              <w:right w:val="single" w:color="000000" w:sz="4" w:space="0"/>
            </w:tcBorders>
            <w:vAlign w:val="center"/>
          </w:tcPr>
          <w:p>
            <w:pPr>
              <w:jc w:val="center"/>
              <w:rPr>
                <w:rFonts w:ascii="宋体" w:hAnsi="宋体" w:cs="宋体"/>
                <w:b/>
                <w:bCs/>
                <w:color w:val="auto"/>
                <w:sz w:val="18"/>
                <w:szCs w:val="18"/>
              </w:rPr>
            </w:pPr>
          </w:p>
        </w:tc>
        <w:tc>
          <w:tcPr>
            <w:tcW w:w="1559" w:type="dxa"/>
            <w:tcBorders>
              <w:top w:val="single" w:color="auto" w:sz="4" w:space="0"/>
              <w:left w:val="single" w:color="000000" w:sz="4" w:space="0"/>
              <w:bottom w:val="single" w:color="auto"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金额</w:t>
            </w:r>
          </w:p>
        </w:tc>
        <w:tc>
          <w:tcPr>
            <w:tcW w:w="992" w:type="dxa"/>
            <w:tcBorders>
              <w:top w:val="single" w:color="auto" w:sz="4" w:space="0"/>
              <w:left w:val="single" w:color="000000" w:sz="4" w:space="0"/>
              <w:bottom w:val="single" w:color="auto"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比例（</w:t>
            </w:r>
            <w:r>
              <w:rPr>
                <w:rFonts w:ascii="宋体" w:hAnsi="宋体" w:cs="宋体"/>
                <w:b/>
                <w:bCs/>
                <w:color w:val="auto"/>
                <w:sz w:val="18"/>
                <w:szCs w:val="18"/>
              </w:rPr>
              <w:t>%）</w:t>
            </w:r>
          </w:p>
        </w:tc>
        <w:tc>
          <w:tcPr>
            <w:tcW w:w="1418" w:type="dxa"/>
            <w:tcBorders>
              <w:top w:val="single" w:color="auto" w:sz="4" w:space="0"/>
              <w:left w:val="single" w:color="000000" w:sz="4" w:space="0"/>
              <w:bottom w:val="single" w:color="auto"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金额</w:t>
            </w:r>
          </w:p>
        </w:tc>
        <w:tc>
          <w:tcPr>
            <w:tcW w:w="1275" w:type="dxa"/>
            <w:tcBorders>
              <w:top w:val="single" w:color="auto" w:sz="4" w:space="0"/>
              <w:left w:val="single" w:color="000000" w:sz="4" w:space="0"/>
              <w:bottom w:val="single" w:color="auto"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计提比例（</w:t>
            </w:r>
            <w:r>
              <w:rPr>
                <w:rFonts w:ascii="宋体" w:hAnsi="宋体" w:cs="宋体"/>
                <w:b/>
                <w:bCs/>
                <w:color w:val="auto"/>
                <w:sz w:val="18"/>
                <w:szCs w:val="18"/>
              </w:rPr>
              <w:t>%）</w:t>
            </w:r>
          </w:p>
        </w:tc>
        <w:tc>
          <w:tcPr>
            <w:tcW w:w="1560" w:type="dxa"/>
            <w:vMerge w:val="continue"/>
            <w:tcBorders>
              <w:left w:val="single" w:color="000000" w:sz="4" w:space="0"/>
              <w:bottom w:val="single" w:color="auto" w:sz="12" w:space="0"/>
            </w:tcBorders>
          </w:tcPr>
          <w:p>
            <w:pPr>
              <w:spacing w:line="360" w:lineRule="auto"/>
              <w:jc w:val="center"/>
              <w:rPr>
                <w:rFonts w:ascii="宋体" w:hAnsi="宋体" w:cs="宋体"/>
                <w:b/>
                <w:bCs/>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234" w:type="dxa"/>
            <w:tcBorders>
              <w:top w:val="single" w:color="auto" w:sz="12" w:space="0"/>
              <w:bottom w:val="single" w:color="auto" w:sz="6" w:space="0"/>
              <w:right w:val="single" w:color="000000" w:sz="4" w:space="0"/>
            </w:tcBorders>
            <w:shd w:val="clear" w:color="auto" w:fill="auto"/>
            <w:vAlign w:val="bottom"/>
          </w:tcPr>
          <w:p>
            <w:pPr>
              <w:rPr>
                <w:rFonts w:ascii="宋体"/>
                <w:color w:val="auto"/>
                <w:spacing w:val="-12"/>
                <w:sz w:val="18"/>
                <w:szCs w:val="18"/>
              </w:rPr>
            </w:pPr>
            <w:r>
              <w:rPr>
                <w:rFonts w:hint="eastAsia" w:ascii="宋体" w:hAnsi="宋体"/>
                <w:color w:val="auto"/>
                <w:sz w:val="18"/>
                <w:szCs w:val="18"/>
              </w:rPr>
              <w:t>按单项计提坏账准备的应收账款</w:t>
            </w:r>
          </w:p>
        </w:tc>
        <w:tc>
          <w:tcPr>
            <w:tcW w:w="1559" w:type="dxa"/>
            <w:tcBorders>
              <w:top w:val="single" w:color="auto" w:sz="12" w:space="0"/>
              <w:left w:val="single" w:color="000000" w:sz="4" w:space="0"/>
              <w:bottom w:val="single" w:color="auto" w:sz="6" w:space="0"/>
              <w:right w:val="single" w:color="000000" w:sz="4" w:space="0"/>
            </w:tcBorders>
            <w:shd w:val="clear" w:color="auto" w:fill="auto"/>
            <w:vAlign w:val="bottom"/>
          </w:tcPr>
          <w:p>
            <w:pPr>
              <w:jc w:val="right"/>
              <w:rPr>
                <w:rFonts w:ascii="宋体" w:hAnsi="宋体" w:cs="宋体"/>
                <w:color w:val="auto"/>
                <w:sz w:val="18"/>
                <w:szCs w:val="18"/>
              </w:rPr>
            </w:pPr>
          </w:p>
        </w:tc>
        <w:tc>
          <w:tcPr>
            <w:tcW w:w="992" w:type="dxa"/>
            <w:tcBorders>
              <w:top w:val="single" w:color="auto" w:sz="12" w:space="0"/>
              <w:left w:val="single" w:color="000000" w:sz="4" w:space="0"/>
              <w:bottom w:val="single" w:color="auto" w:sz="6" w:space="0"/>
              <w:right w:val="single" w:color="000000" w:sz="4" w:space="0"/>
            </w:tcBorders>
            <w:shd w:val="clear" w:color="auto" w:fill="auto"/>
            <w:vAlign w:val="bottom"/>
          </w:tcPr>
          <w:p>
            <w:pPr>
              <w:jc w:val="right"/>
              <w:rPr>
                <w:rFonts w:ascii="宋体" w:hAnsi="宋体" w:cs="宋体"/>
                <w:color w:val="auto"/>
                <w:sz w:val="18"/>
                <w:szCs w:val="18"/>
              </w:rPr>
            </w:pPr>
          </w:p>
        </w:tc>
        <w:tc>
          <w:tcPr>
            <w:tcW w:w="1418" w:type="dxa"/>
            <w:tcBorders>
              <w:top w:val="single" w:color="auto" w:sz="12" w:space="0"/>
              <w:left w:val="single" w:color="000000" w:sz="4" w:space="0"/>
              <w:bottom w:val="single" w:color="auto" w:sz="6" w:space="0"/>
              <w:right w:val="single" w:color="000000" w:sz="4" w:space="0"/>
            </w:tcBorders>
            <w:shd w:val="clear" w:color="auto" w:fill="auto"/>
            <w:vAlign w:val="bottom"/>
          </w:tcPr>
          <w:p>
            <w:pPr>
              <w:jc w:val="right"/>
              <w:rPr>
                <w:rFonts w:ascii="宋体" w:hAnsi="宋体" w:cs="宋体"/>
                <w:color w:val="auto"/>
                <w:sz w:val="18"/>
                <w:szCs w:val="18"/>
              </w:rPr>
            </w:pPr>
          </w:p>
        </w:tc>
        <w:tc>
          <w:tcPr>
            <w:tcW w:w="1275" w:type="dxa"/>
            <w:tcBorders>
              <w:top w:val="single" w:color="auto" w:sz="12" w:space="0"/>
              <w:left w:val="single" w:color="000000" w:sz="4" w:space="0"/>
              <w:bottom w:val="single" w:color="auto" w:sz="6" w:space="0"/>
              <w:right w:val="single" w:color="000000" w:sz="4" w:space="0"/>
            </w:tcBorders>
            <w:shd w:val="clear" w:color="auto" w:fill="auto"/>
            <w:vAlign w:val="bottom"/>
          </w:tcPr>
          <w:p>
            <w:pPr>
              <w:jc w:val="right"/>
              <w:rPr>
                <w:rFonts w:ascii="宋体" w:hAnsi="宋体" w:cs="宋体"/>
                <w:color w:val="auto"/>
                <w:sz w:val="18"/>
                <w:szCs w:val="18"/>
              </w:rPr>
            </w:pPr>
          </w:p>
        </w:tc>
        <w:tc>
          <w:tcPr>
            <w:tcW w:w="1560" w:type="dxa"/>
            <w:tcBorders>
              <w:top w:val="single" w:color="auto" w:sz="12" w:space="0"/>
              <w:left w:val="single" w:color="000000" w:sz="4" w:space="0"/>
              <w:bottom w:val="single" w:color="auto" w:sz="6" w:space="0"/>
            </w:tcBorders>
            <w:shd w:val="clear" w:color="auto" w:fill="auto"/>
            <w:vAlign w:val="bottom"/>
          </w:tcPr>
          <w:p>
            <w:pPr>
              <w:jc w:val="right"/>
              <w:rPr>
                <w:rFonts w:ascii="宋体" w:hAnsi="宋体" w:cs="宋体"/>
                <w:color w:val="auto"/>
                <w:sz w:val="18"/>
                <w:szCs w:val="18"/>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tcBorders>
              <w:top w:val="single" w:color="auto" w:sz="6" w:space="0"/>
              <w:bottom w:val="single" w:color="auto" w:sz="6" w:space="0"/>
              <w:right w:val="single" w:color="000000" w:sz="4" w:space="0"/>
            </w:tcBorders>
            <w:vAlign w:val="bottom"/>
          </w:tcPr>
          <w:p>
            <w:pPr>
              <w:rPr>
                <w:rFonts w:ascii="宋体"/>
                <w:color w:val="auto"/>
                <w:kern w:val="0"/>
                <w:sz w:val="18"/>
                <w:szCs w:val="18"/>
              </w:rPr>
            </w:pPr>
            <w:r>
              <w:rPr>
                <w:rFonts w:hint="eastAsia" w:ascii="宋体" w:hAnsi="宋体"/>
                <w:color w:val="auto"/>
                <w:sz w:val="18"/>
                <w:szCs w:val="18"/>
              </w:rPr>
              <w:t>按组合计提坏账准备的应收款项</w:t>
            </w:r>
          </w:p>
        </w:tc>
        <w:tc>
          <w:tcPr>
            <w:tcW w:w="1559" w:type="dxa"/>
            <w:tcBorders>
              <w:top w:val="single" w:color="auto" w:sz="6" w:space="0"/>
              <w:left w:val="single" w:color="000000" w:sz="4" w:space="0"/>
              <w:bottom w:val="single" w:color="auto" w:sz="6" w:space="0"/>
              <w:right w:val="single" w:color="000000" w:sz="4" w:space="0"/>
            </w:tcBorders>
            <w:vAlign w:val="bottom"/>
          </w:tcPr>
          <w:p>
            <w:pPr>
              <w:jc w:val="right"/>
              <w:rPr>
                <w:rFonts w:ascii="宋体" w:hAnsi="宋体" w:cs="宋体"/>
                <w:color w:val="auto"/>
                <w:sz w:val="18"/>
                <w:szCs w:val="18"/>
              </w:rPr>
            </w:pPr>
            <w:r>
              <w:rPr>
                <w:rFonts w:ascii="宋体" w:hAnsi="宋体"/>
                <w:color w:val="auto"/>
                <w:sz w:val="18"/>
                <w:szCs w:val="18"/>
              </w:rPr>
              <w:t>82,533,559.76</w:t>
            </w:r>
          </w:p>
        </w:tc>
        <w:tc>
          <w:tcPr>
            <w:tcW w:w="992" w:type="dxa"/>
            <w:tcBorders>
              <w:top w:val="single" w:color="auto" w:sz="6" w:space="0"/>
              <w:left w:val="single" w:color="000000" w:sz="4" w:space="0"/>
              <w:bottom w:val="single" w:color="auto" w:sz="6" w:space="0"/>
              <w:right w:val="single" w:color="000000" w:sz="4" w:space="0"/>
            </w:tcBorders>
            <w:vAlign w:val="bottom"/>
          </w:tcPr>
          <w:p>
            <w:pPr>
              <w:jc w:val="right"/>
              <w:rPr>
                <w:rFonts w:ascii="宋体" w:hAnsi="宋体" w:cs="宋体"/>
                <w:color w:val="auto"/>
                <w:sz w:val="18"/>
                <w:szCs w:val="18"/>
              </w:rPr>
            </w:pPr>
            <w:r>
              <w:rPr>
                <w:rFonts w:ascii="宋体" w:hAnsi="宋体"/>
                <w:color w:val="auto"/>
                <w:sz w:val="18"/>
                <w:szCs w:val="18"/>
              </w:rPr>
              <w:t>100.00</w:t>
            </w:r>
          </w:p>
        </w:tc>
        <w:tc>
          <w:tcPr>
            <w:tcW w:w="1418" w:type="dxa"/>
            <w:tcBorders>
              <w:top w:val="single" w:color="auto" w:sz="6" w:space="0"/>
              <w:left w:val="single" w:color="000000" w:sz="4" w:space="0"/>
              <w:bottom w:val="single" w:color="auto" w:sz="6" w:space="0"/>
              <w:right w:val="single" w:color="000000" w:sz="4" w:space="0"/>
            </w:tcBorders>
            <w:vAlign w:val="bottom"/>
          </w:tcPr>
          <w:p>
            <w:pPr>
              <w:jc w:val="right"/>
              <w:rPr>
                <w:rFonts w:ascii="宋体" w:hAnsi="宋体" w:cs="宋体"/>
                <w:color w:val="auto"/>
                <w:sz w:val="18"/>
                <w:szCs w:val="18"/>
              </w:rPr>
            </w:pPr>
            <w:r>
              <w:rPr>
                <w:rFonts w:ascii="宋体" w:hAnsi="宋体"/>
                <w:color w:val="auto"/>
                <w:sz w:val="18"/>
                <w:szCs w:val="18"/>
              </w:rPr>
              <w:t>7,965,867.39</w:t>
            </w:r>
          </w:p>
        </w:tc>
        <w:tc>
          <w:tcPr>
            <w:tcW w:w="1275" w:type="dxa"/>
            <w:tcBorders>
              <w:top w:val="single" w:color="auto" w:sz="6" w:space="0"/>
              <w:left w:val="single" w:color="000000" w:sz="4" w:space="0"/>
              <w:bottom w:val="single" w:color="auto" w:sz="6" w:space="0"/>
              <w:right w:val="single" w:color="000000" w:sz="4" w:space="0"/>
            </w:tcBorders>
            <w:vAlign w:val="bottom"/>
          </w:tcPr>
          <w:p>
            <w:pPr>
              <w:jc w:val="right"/>
              <w:rPr>
                <w:rFonts w:ascii="宋体" w:hAnsi="宋体" w:cs="宋体"/>
                <w:color w:val="auto"/>
                <w:sz w:val="18"/>
                <w:szCs w:val="18"/>
              </w:rPr>
            </w:pPr>
            <w:r>
              <w:rPr>
                <w:rFonts w:ascii="宋体" w:hAnsi="宋体"/>
                <w:color w:val="auto"/>
                <w:sz w:val="18"/>
                <w:szCs w:val="18"/>
              </w:rPr>
              <w:t>9.65</w:t>
            </w:r>
          </w:p>
        </w:tc>
        <w:tc>
          <w:tcPr>
            <w:tcW w:w="1560" w:type="dxa"/>
            <w:tcBorders>
              <w:top w:val="single" w:color="auto" w:sz="6" w:space="0"/>
              <w:left w:val="single" w:color="000000" w:sz="4" w:space="0"/>
              <w:bottom w:val="single" w:color="auto" w:sz="6" w:space="0"/>
            </w:tcBorders>
            <w:vAlign w:val="bottom"/>
          </w:tcPr>
          <w:p>
            <w:pPr>
              <w:jc w:val="right"/>
              <w:rPr>
                <w:rFonts w:ascii="宋体" w:hAnsi="宋体" w:cs="宋体"/>
                <w:color w:val="auto"/>
                <w:sz w:val="18"/>
                <w:szCs w:val="18"/>
              </w:rPr>
            </w:pPr>
            <w:r>
              <w:rPr>
                <w:rFonts w:ascii="宋体" w:hAnsi="宋体"/>
                <w:color w:val="auto"/>
                <w:sz w:val="18"/>
                <w:szCs w:val="18"/>
              </w:rPr>
              <w:t>74,567,692.37</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tcBorders>
              <w:top w:val="single" w:color="auto" w:sz="12" w:space="0"/>
              <w:bottom w:val="single" w:color="000000" w:sz="12" w:space="0"/>
              <w:right w:val="single" w:color="000000" w:sz="4" w:space="0"/>
            </w:tcBorders>
            <w:vAlign w:val="bottom"/>
          </w:tcPr>
          <w:p>
            <w:pPr>
              <w:jc w:val="center"/>
              <w:rPr>
                <w:rFonts w:ascii="宋体"/>
                <w:b/>
                <w:bCs/>
                <w:color w:val="auto"/>
                <w:sz w:val="18"/>
                <w:szCs w:val="18"/>
              </w:rPr>
            </w:pPr>
            <w:r>
              <w:rPr>
                <w:rFonts w:hint="eastAsia" w:ascii="宋体" w:hAnsi="宋体" w:cs="宋体"/>
                <w:b/>
                <w:bCs/>
                <w:color w:val="auto"/>
                <w:sz w:val="18"/>
                <w:szCs w:val="18"/>
              </w:rPr>
              <w:t>合计</w:t>
            </w:r>
          </w:p>
        </w:tc>
        <w:tc>
          <w:tcPr>
            <w:tcW w:w="1559" w:type="dxa"/>
            <w:tcBorders>
              <w:top w:val="single" w:color="auto" w:sz="12" w:space="0"/>
              <w:left w:val="single" w:color="000000" w:sz="4" w:space="0"/>
              <w:bottom w:val="single" w:color="000000" w:sz="12" w:space="0"/>
              <w:right w:val="single" w:color="000000" w:sz="4" w:space="0"/>
            </w:tcBorders>
            <w:vAlign w:val="bottom"/>
          </w:tcPr>
          <w:p>
            <w:pPr>
              <w:jc w:val="right"/>
              <w:rPr>
                <w:rFonts w:ascii="宋体" w:hAnsi="宋体" w:cs="宋体"/>
                <w:b/>
                <w:bCs/>
                <w:color w:val="auto"/>
                <w:sz w:val="18"/>
                <w:szCs w:val="18"/>
              </w:rPr>
            </w:pPr>
            <w:r>
              <w:rPr>
                <w:rFonts w:ascii="宋体" w:hAnsi="宋体"/>
                <w:b/>
                <w:bCs/>
                <w:color w:val="auto"/>
                <w:sz w:val="18"/>
                <w:szCs w:val="18"/>
              </w:rPr>
              <w:t>82,533,559.76</w:t>
            </w:r>
          </w:p>
        </w:tc>
        <w:tc>
          <w:tcPr>
            <w:tcW w:w="992" w:type="dxa"/>
            <w:tcBorders>
              <w:top w:val="single" w:color="auto" w:sz="12" w:space="0"/>
              <w:left w:val="single" w:color="000000" w:sz="4" w:space="0"/>
              <w:bottom w:val="single" w:color="000000" w:sz="12" w:space="0"/>
              <w:right w:val="single" w:color="000000" w:sz="4" w:space="0"/>
            </w:tcBorders>
            <w:vAlign w:val="bottom"/>
          </w:tcPr>
          <w:p>
            <w:pPr>
              <w:jc w:val="right"/>
              <w:rPr>
                <w:rFonts w:ascii="宋体" w:hAnsi="宋体" w:cs="宋体"/>
                <w:b/>
                <w:bCs/>
                <w:color w:val="auto"/>
                <w:sz w:val="18"/>
                <w:szCs w:val="18"/>
              </w:rPr>
            </w:pPr>
            <w:r>
              <w:rPr>
                <w:rFonts w:ascii="宋体" w:hAnsi="宋体"/>
                <w:b/>
                <w:bCs/>
                <w:color w:val="auto"/>
                <w:sz w:val="18"/>
                <w:szCs w:val="18"/>
              </w:rPr>
              <w:t>100.00</w:t>
            </w:r>
          </w:p>
        </w:tc>
        <w:tc>
          <w:tcPr>
            <w:tcW w:w="1418" w:type="dxa"/>
            <w:tcBorders>
              <w:top w:val="single" w:color="auto" w:sz="12" w:space="0"/>
              <w:left w:val="single" w:color="000000" w:sz="4" w:space="0"/>
              <w:bottom w:val="single" w:color="000000" w:sz="12" w:space="0"/>
              <w:right w:val="single" w:color="000000" w:sz="4" w:space="0"/>
            </w:tcBorders>
            <w:vAlign w:val="bottom"/>
          </w:tcPr>
          <w:p>
            <w:pPr>
              <w:jc w:val="right"/>
              <w:rPr>
                <w:rFonts w:ascii="宋体" w:hAnsi="宋体" w:cs="宋体"/>
                <w:b/>
                <w:bCs/>
                <w:color w:val="auto"/>
                <w:sz w:val="18"/>
                <w:szCs w:val="18"/>
              </w:rPr>
            </w:pPr>
            <w:r>
              <w:rPr>
                <w:rFonts w:ascii="宋体" w:hAnsi="宋体"/>
                <w:b/>
                <w:bCs/>
                <w:color w:val="auto"/>
                <w:sz w:val="18"/>
                <w:szCs w:val="18"/>
              </w:rPr>
              <w:t>7,965,867.39</w:t>
            </w:r>
          </w:p>
        </w:tc>
        <w:tc>
          <w:tcPr>
            <w:tcW w:w="1275" w:type="dxa"/>
            <w:tcBorders>
              <w:top w:val="single" w:color="auto" w:sz="12" w:space="0"/>
              <w:left w:val="single" w:color="000000" w:sz="4" w:space="0"/>
              <w:bottom w:val="single" w:color="000000" w:sz="12" w:space="0"/>
              <w:right w:val="single" w:color="000000" w:sz="4" w:space="0"/>
            </w:tcBorders>
            <w:vAlign w:val="bottom"/>
          </w:tcPr>
          <w:p>
            <w:pPr>
              <w:jc w:val="right"/>
              <w:rPr>
                <w:rFonts w:ascii="宋体" w:hAnsi="宋体" w:cs="宋体"/>
                <w:b/>
                <w:bCs/>
                <w:color w:val="auto"/>
                <w:sz w:val="18"/>
                <w:szCs w:val="18"/>
              </w:rPr>
            </w:pPr>
            <w:r>
              <w:rPr>
                <w:rFonts w:ascii="宋体" w:hAnsi="宋体"/>
                <w:b/>
                <w:bCs/>
                <w:color w:val="auto"/>
                <w:sz w:val="18"/>
                <w:szCs w:val="18"/>
              </w:rPr>
              <w:t>9.65</w:t>
            </w:r>
          </w:p>
        </w:tc>
        <w:tc>
          <w:tcPr>
            <w:tcW w:w="1560" w:type="dxa"/>
            <w:tcBorders>
              <w:top w:val="single" w:color="auto" w:sz="12" w:space="0"/>
              <w:left w:val="single" w:color="000000" w:sz="4" w:space="0"/>
              <w:bottom w:val="single" w:color="000000" w:sz="12" w:space="0"/>
            </w:tcBorders>
            <w:vAlign w:val="bottom"/>
          </w:tcPr>
          <w:p>
            <w:pPr>
              <w:jc w:val="right"/>
              <w:rPr>
                <w:rFonts w:ascii="宋体" w:hAnsi="宋体" w:cs="宋体"/>
                <w:b/>
                <w:bCs/>
                <w:color w:val="auto"/>
                <w:sz w:val="18"/>
                <w:szCs w:val="18"/>
              </w:rPr>
            </w:pPr>
            <w:r>
              <w:rPr>
                <w:rFonts w:ascii="宋体" w:hAnsi="宋体"/>
                <w:b/>
                <w:bCs/>
                <w:color w:val="auto"/>
                <w:sz w:val="18"/>
                <w:szCs w:val="18"/>
              </w:rPr>
              <w:t>74,567,692.37</w:t>
            </w:r>
          </w:p>
        </w:tc>
      </w:tr>
    </w:tbl>
    <w:p>
      <w:pPr>
        <w:tabs>
          <w:tab w:val="left" w:pos="2398"/>
        </w:tabs>
        <w:spacing w:before="150" w:beforeLines="50" w:after="150" w:afterLines="50" w:line="360" w:lineRule="auto"/>
        <w:ind w:right="119"/>
        <w:rPr>
          <w:rFonts w:ascii="宋体" w:hAnsi="宋体"/>
          <w:bCs/>
          <w:color w:val="auto"/>
        </w:rPr>
      </w:pPr>
      <w:r>
        <w:rPr>
          <w:rFonts w:hint="eastAsia" w:ascii="宋体" w:hAnsi="宋体"/>
          <w:bCs/>
          <w:color w:val="auto"/>
        </w:rPr>
        <w:t>（续）</w:t>
      </w:r>
    </w:p>
    <w:tbl>
      <w:tblPr>
        <w:tblStyle w:val="9"/>
        <w:tblW w:w="9038"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Layout w:type="fixed"/>
        <w:tblCellMar>
          <w:top w:w="0" w:type="dxa"/>
          <w:left w:w="107" w:type="dxa"/>
          <w:bottom w:w="0" w:type="dxa"/>
          <w:right w:w="107" w:type="dxa"/>
        </w:tblCellMar>
      </w:tblPr>
      <w:tblGrid>
        <w:gridCol w:w="2234"/>
        <w:gridCol w:w="1559"/>
        <w:gridCol w:w="992"/>
        <w:gridCol w:w="1418"/>
        <w:gridCol w:w="1275"/>
        <w:gridCol w:w="1560"/>
      </w:tblGrid>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vMerge w:val="restart"/>
            <w:tcBorders>
              <w:top w:val="single" w:color="000000"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类别</w:t>
            </w:r>
          </w:p>
        </w:tc>
        <w:tc>
          <w:tcPr>
            <w:tcW w:w="6804" w:type="dxa"/>
            <w:gridSpan w:val="5"/>
            <w:tcBorders>
              <w:top w:val="single" w:color="auto" w:sz="12" w:space="0"/>
              <w:left w:val="single" w:color="000000" w:sz="4" w:space="0"/>
              <w:bottom w:val="single" w:color="auto"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期初余额</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vMerge w:val="continue"/>
            <w:tcBorders>
              <w:bottom w:val="single" w:color="auto" w:sz="4" w:space="0"/>
              <w:right w:val="single" w:color="000000" w:sz="4" w:space="0"/>
            </w:tcBorders>
            <w:vAlign w:val="center"/>
          </w:tcPr>
          <w:p>
            <w:pPr>
              <w:jc w:val="center"/>
              <w:rPr>
                <w:rFonts w:ascii="宋体" w:hAnsi="宋体" w:cs="宋体"/>
                <w:b/>
                <w:bCs/>
                <w:color w:val="auto"/>
                <w:sz w:val="18"/>
                <w:szCs w:val="18"/>
              </w:rPr>
            </w:pPr>
          </w:p>
        </w:tc>
        <w:tc>
          <w:tcPr>
            <w:tcW w:w="2551"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账面余额</w:t>
            </w:r>
          </w:p>
        </w:tc>
        <w:tc>
          <w:tcPr>
            <w:tcW w:w="2693"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坏账准备</w:t>
            </w:r>
          </w:p>
        </w:tc>
        <w:tc>
          <w:tcPr>
            <w:tcW w:w="1560" w:type="dxa"/>
            <w:vMerge w:val="restart"/>
            <w:tcBorders>
              <w:top w:val="single" w:color="auto" w:sz="4" w:space="0"/>
              <w:left w:val="single" w:color="000000" w:sz="4" w:space="0"/>
              <w:bottom w:val="single" w:color="auto"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账面价值</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vMerge w:val="continue"/>
            <w:tcBorders>
              <w:top w:val="single" w:color="auto" w:sz="4" w:space="0"/>
              <w:bottom w:val="single" w:color="auto" w:sz="12" w:space="0"/>
              <w:right w:val="single" w:color="000000" w:sz="4" w:space="0"/>
            </w:tcBorders>
            <w:vAlign w:val="center"/>
          </w:tcPr>
          <w:p>
            <w:pPr>
              <w:jc w:val="center"/>
              <w:rPr>
                <w:rFonts w:ascii="宋体" w:hAnsi="宋体" w:cs="宋体"/>
                <w:b/>
                <w:bCs/>
                <w:color w:val="auto"/>
                <w:sz w:val="18"/>
                <w:szCs w:val="18"/>
              </w:rPr>
            </w:pPr>
          </w:p>
        </w:tc>
        <w:tc>
          <w:tcPr>
            <w:tcW w:w="1559" w:type="dxa"/>
            <w:tcBorders>
              <w:top w:val="single" w:color="auto" w:sz="4" w:space="0"/>
              <w:left w:val="single" w:color="000000" w:sz="4" w:space="0"/>
              <w:bottom w:val="single" w:color="auto"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金额</w:t>
            </w:r>
          </w:p>
        </w:tc>
        <w:tc>
          <w:tcPr>
            <w:tcW w:w="992" w:type="dxa"/>
            <w:tcBorders>
              <w:top w:val="single" w:color="auto" w:sz="4" w:space="0"/>
              <w:left w:val="single" w:color="000000" w:sz="4" w:space="0"/>
              <w:bottom w:val="single" w:color="auto"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比例（</w:t>
            </w:r>
            <w:r>
              <w:rPr>
                <w:rFonts w:ascii="宋体" w:hAnsi="宋体" w:cs="宋体"/>
                <w:b/>
                <w:bCs/>
                <w:color w:val="auto"/>
                <w:sz w:val="18"/>
                <w:szCs w:val="18"/>
              </w:rPr>
              <w:t>%）</w:t>
            </w:r>
          </w:p>
        </w:tc>
        <w:tc>
          <w:tcPr>
            <w:tcW w:w="1418" w:type="dxa"/>
            <w:tcBorders>
              <w:top w:val="single" w:color="auto" w:sz="4" w:space="0"/>
              <w:left w:val="single" w:color="000000" w:sz="4" w:space="0"/>
              <w:bottom w:val="single" w:color="auto"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金额</w:t>
            </w:r>
          </w:p>
        </w:tc>
        <w:tc>
          <w:tcPr>
            <w:tcW w:w="1275" w:type="dxa"/>
            <w:tcBorders>
              <w:top w:val="single" w:color="auto" w:sz="4" w:space="0"/>
              <w:left w:val="single" w:color="000000" w:sz="4" w:space="0"/>
              <w:bottom w:val="single" w:color="auto" w:sz="12" w:space="0"/>
              <w:right w:val="single" w:color="000000" w:sz="4" w:space="0"/>
            </w:tcBorders>
            <w:vAlign w:val="center"/>
          </w:tcPr>
          <w:p>
            <w:pPr>
              <w:jc w:val="center"/>
              <w:rPr>
                <w:rFonts w:ascii="宋体" w:hAnsi="宋体" w:cs="宋体"/>
                <w:b/>
                <w:bCs/>
                <w:color w:val="auto"/>
                <w:sz w:val="18"/>
                <w:szCs w:val="18"/>
              </w:rPr>
            </w:pPr>
            <w:r>
              <w:rPr>
                <w:rFonts w:hint="eastAsia" w:ascii="宋体" w:hAnsi="宋体" w:cs="宋体"/>
                <w:b/>
                <w:bCs/>
                <w:color w:val="auto"/>
                <w:sz w:val="18"/>
                <w:szCs w:val="18"/>
              </w:rPr>
              <w:t>计提比例（</w:t>
            </w:r>
            <w:r>
              <w:rPr>
                <w:rFonts w:ascii="宋体" w:hAnsi="宋体" w:cs="宋体"/>
                <w:b/>
                <w:bCs/>
                <w:color w:val="auto"/>
                <w:sz w:val="18"/>
                <w:szCs w:val="18"/>
              </w:rPr>
              <w:t>%）</w:t>
            </w:r>
          </w:p>
        </w:tc>
        <w:tc>
          <w:tcPr>
            <w:tcW w:w="1560" w:type="dxa"/>
            <w:vMerge w:val="continue"/>
            <w:tcBorders>
              <w:top w:val="single" w:color="auto" w:sz="4" w:space="0"/>
              <w:left w:val="single" w:color="000000" w:sz="4" w:space="0"/>
              <w:bottom w:val="single" w:color="auto" w:sz="12" w:space="0"/>
            </w:tcBorders>
          </w:tcPr>
          <w:p>
            <w:pPr>
              <w:spacing w:line="360" w:lineRule="auto"/>
              <w:jc w:val="center"/>
              <w:rPr>
                <w:rFonts w:ascii="宋体" w:hAnsi="宋体" w:cs="宋体"/>
                <w:b/>
                <w:bCs/>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234" w:type="dxa"/>
            <w:tcBorders>
              <w:top w:val="single" w:color="auto" w:sz="12" w:space="0"/>
              <w:bottom w:val="single" w:color="auto" w:sz="4" w:space="0"/>
              <w:right w:val="single" w:color="000000" w:sz="4" w:space="0"/>
            </w:tcBorders>
            <w:vAlign w:val="bottom"/>
          </w:tcPr>
          <w:p>
            <w:pPr>
              <w:rPr>
                <w:rFonts w:ascii="宋体"/>
                <w:color w:val="auto"/>
                <w:spacing w:val="-12"/>
                <w:sz w:val="18"/>
                <w:szCs w:val="18"/>
              </w:rPr>
            </w:pPr>
            <w:r>
              <w:rPr>
                <w:rFonts w:hint="eastAsia" w:ascii="宋体" w:hAnsi="宋体"/>
                <w:color w:val="auto"/>
                <w:sz w:val="18"/>
                <w:szCs w:val="18"/>
              </w:rPr>
              <w:t>按单项计提坏账准备的应收账款</w:t>
            </w:r>
          </w:p>
        </w:tc>
        <w:tc>
          <w:tcPr>
            <w:tcW w:w="1559" w:type="dxa"/>
            <w:tcBorders>
              <w:top w:val="single" w:color="auto" w:sz="12" w:space="0"/>
              <w:left w:val="single" w:color="000000" w:sz="4" w:space="0"/>
              <w:bottom w:val="single" w:color="auto" w:sz="4" w:space="0"/>
              <w:right w:val="single" w:color="000000" w:sz="4" w:space="0"/>
            </w:tcBorders>
            <w:vAlign w:val="bottom"/>
          </w:tcPr>
          <w:p>
            <w:pPr>
              <w:jc w:val="right"/>
              <w:rPr>
                <w:rFonts w:ascii="宋体" w:hAnsi="宋体" w:cs="宋体"/>
                <w:color w:val="auto"/>
                <w:sz w:val="18"/>
                <w:szCs w:val="18"/>
              </w:rPr>
            </w:pPr>
          </w:p>
        </w:tc>
        <w:tc>
          <w:tcPr>
            <w:tcW w:w="992" w:type="dxa"/>
            <w:tcBorders>
              <w:top w:val="single" w:color="auto" w:sz="12" w:space="0"/>
              <w:left w:val="single" w:color="000000" w:sz="4" w:space="0"/>
              <w:bottom w:val="single" w:color="auto" w:sz="4" w:space="0"/>
              <w:right w:val="single" w:color="000000" w:sz="4" w:space="0"/>
            </w:tcBorders>
            <w:vAlign w:val="bottom"/>
          </w:tcPr>
          <w:p>
            <w:pPr>
              <w:jc w:val="right"/>
              <w:rPr>
                <w:rFonts w:ascii="宋体" w:hAnsi="宋体" w:cs="宋体"/>
                <w:color w:val="auto"/>
                <w:sz w:val="18"/>
                <w:szCs w:val="18"/>
              </w:rPr>
            </w:pPr>
          </w:p>
        </w:tc>
        <w:tc>
          <w:tcPr>
            <w:tcW w:w="1418" w:type="dxa"/>
            <w:tcBorders>
              <w:top w:val="single" w:color="auto" w:sz="12" w:space="0"/>
              <w:left w:val="single" w:color="000000" w:sz="4" w:space="0"/>
              <w:bottom w:val="single" w:color="auto" w:sz="4" w:space="0"/>
              <w:right w:val="single" w:color="000000" w:sz="4" w:space="0"/>
            </w:tcBorders>
            <w:vAlign w:val="bottom"/>
          </w:tcPr>
          <w:p>
            <w:pPr>
              <w:jc w:val="right"/>
              <w:rPr>
                <w:rFonts w:ascii="宋体" w:hAnsi="宋体" w:cs="宋体"/>
                <w:color w:val="auto"/>
                <w:sz w:val="18"/>
                <w:szCs w:val="18"/>
              </w:rPr>
            </w:pPr>
          </w:p>
        </w:tc>
        <w:tc>
          <w:tcPr>
            <w:tcW w:w="1275" w:type="dxa"/>
            <w:tcBorders>
              <w:top w:val="single" w:color="auto" w:sz="12" w:space="0"/>
              <w:left w:val="single" w:color="000000" w:sz="4" w:space="0"/>
              <w:bottom w:val="single" w:color="auto" w:sz="4" w:space="0"/>
              <w:right w:val="single" w:color="000000" w:sz="4" w:space="0"/>
            </w:tcBorders>
            <w:vAlign w:val="bottom"/>
          </w:tcPr>
          <w:p>
            <w:pPr>
              <w:jc w:val="right"/>
              <w:rPr>
                <w:rFonts w:ascii="宋体" w:hAnsi="宋体" w:cs="宋体"/>
                <w:color w:val="auto"/>
                <w:sz w:val="18"/>
                <w:szCs w:val="18"/>
              </w:rPr>
            </w:pPr>
          </w:p>
        </w:tc>
        <w:tc>
          <w:tcPr>
            <w:tcW w:w="1560" w:type="dxa"/>
            <w:tcBorders>
              <w:top w:val="single" w:color="auto" w:sz="12" w:space="0"/>
              <w:left w:val="single" w:color="000000" w:sz="4" w:space="0"/>
              <w:bottom w:val="single" w:color="auto" w:sz="4" w:space="0"/>
            </w:tcBorders>
            <w:vAlign w:val="bottom"/>
          </w:tcPr>
          <w:p>
            <w:pPr>
              <w:jc w:val="right"/>
              <w:rPr>
                <w:rFonts w:ascii="宋体" w:hAnsi="宋体" w:cs="宋体"/>
                <w:color w:val="auto"/>
                <w:sz w:val="18"/>
                <w:szCs w:val="18"/>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tcBorders>
              <w:top w:val="single" w:color="auto" w:sz="4" w:space="0"/>
              <w:bottom w:val="single" w:color="auto" w:sz="4" w:space="0"/>
              <w:right w:val="single" w:color="000000" w:sz="4" w:space="0"/>
            </w:tcBorders>
            <w:vAlign w:val="bottom"/>
          </w:tcPr>
          <w:p>
            <w:pPr>
              <w:rPr>
                <w:rFonts w:ascii="宋体"/>
                <w:color w:val="auto"/>
                <w:kern w:val="0"/>
                <w:sz w:val="18"/>
                <w:szCs w:val="18"/>
              </w:rPr>
            </w:pPr>
            <w:r>
              <w:rPr>
                <w:rFonts w:hint="eastAsia" w:ascii="宋体" w:hAnsi="宋体"/>
                <w:color w:val="auto"/>
                <w:sz w:val="18"/>
                <w:szCs w:val="18"/>
              </w:rPr>
              <w:t>按组合计提坏账准备的应收款项</w:t>
            </w:r>
          </w:p>
        </w:tc>
        <w:tc>
          <w:tcPr>
            <w:tcW w:w="1559" w:type="dxa"/>
            <w:tcBorders>
              <w:top w:val="single" w:color="auto" w:sz="4" w:space="0"/>
              <w:left w:val="single" w:color="000000" w:sz="4" w:space="0"/>
              <w:bottom w:val="single" w:color="auto" w:sz="4" w:space="0"/>
              <w:right w:val="single" w:color="000000"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72,388,029.64</w:t>
            </w:r>
          </w:p>
        </w:tc>
        <w:tc>
          <w:tcPr>
            <w:tcW w:w="992" w:type="dxa"/>
            <w:tcBorders>
              <w:top w:val="single" w:color="auto" w:sz="4" w:space="0"/>
              <w:left w:val="single" w:color="000000" w:sz="4" w:space="0"/>
              <w:bottom w:val="single" w:color="auto" w:sz="4" w:space="0"/>
              <w:right w:val="single" w:color="000000"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100.00</w:t>
            </w:r>
          </w:p>
        </w:tc>
        <w:tc>
          <w:tcPr>
            <w:tcW w:w="1418" w:type="dxa"/>
            <w:tcBorders>
              <w:top w:val="single" w:color="auto" w:sz="4" w:space="0"/>
              <w:left w:val="single" w:color="000000" w:sz="4" w:space="0"/>
              <w:bottom w:val="single" w:color="auto" w:sz="4" w:space="0"/>
              <w:right w:val="single" w:color="000000"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8,323,192.26</w:t>
            </w:r>
          </w:p>
        </w:tc>
        <w:tc>
          <w:tcPr>
            <w:tcW w:w="1275" w:type="dxa"/>
            <w:tcBorders>
              <w:top w:val="single" w:color="auto" w:sz="4" w:space="0"/>
              <w:left w:val="single" w:color="000000" w:sz="4" w:space="0"/>
              <w:bottom w:val="single" w:color="auto" w:sz="4" w:space="0"/>
              <w:right w:val="single" w:color="000000"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11.50</w:t>
            </w:r>
          </w:p>
        </w:tc>
        <w:tc>
          <w:tcPr>
            <w:tcW w:w="1560" w:type="dxa"/>
            <w:tcBorders>
              <w:top w:val="single" w:color="auto" w:sz="4" w:space="0"/>
              <w:left w:val="single" w:color="000000"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64,064,837.38</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auto" w:sz="6" w:space="0"/>
          </w:tblBorders>
          <w:tblCellMar>
            <w:top w:w="0" w:type="dxa"/>
            <w:left w:w="107" w:type="dxa"/>
            <w:bottom w:w="0" w:type="dxa"/>
            <w:right w:w="107" w:type="dxa"/>
          </w:tblCellMar>
        </w:tblPrEx>
        <w:trPr>
          <w:trHeight w:val="454" w:hRule="atLeast"/>
        </w:trPr>
        <w:tc>
          <w:tcPr>
            <w:tcW w:w="2234" w:type="dxa"/>
            <w:tcBorders>
              <w:top w:val="single" w:color="auto" w:sz="12" w:space="0"/>
              <w:bottom w:val="single" w:color="000000" w:sz="12" w:space="0"/>
              <w:right w:val="single" w:color="000000" w:sz="4" w:space="0"/>
            </w:tcBorders>
            <w:vAlign w:val="bottom"/>
          </w:tcPr>
          <w:p>
            <w:pPr>
              <w:jc w:val="center"/>
              <w:rPr>
                <w:rFonts w:ascii="宋体"/>
                <w:b/>
                <w:bCs/>
                <w:color w:val="auto"/>
                <w:sz w:val="18"/>
                <w:szCs w:val="18"/>
              </w:rPr>
            </w:pPr>
            <w:r>
              <w:rPr>
                <w:rFonts w:hint="eastAsia" w:ascii="宋体" w:hAnsi="宋体" w:cs="宋体"/>
                <w:b/>
                <w:bCs/>
                <w:color w:val="auto"/>
                <w:sz w:val="18"/>
                <w:szCs w:val="18"/>
              </w:rPr>
              <w:t>合计</w:t>
            </w:r>
          </w:p>
        </w:tc>
        <w:tc>
          <w:tcPr>
            <w:tcW w:w="1559" w:type="dxa"/>
            <w:tcBorders>
              <w:top w:val="single" w:color="auto" w:sz="12" w:space="0"/>
              <w:left w:val="single" w:color="000000" w:sz="4" w:space="0"/>
              <w:bottom w:val="single" w:color="000000" w:sz="12" w:space="0"/>
              <w:right w:val="single" w:color="000000" w:sz="4" w:space="0"/>
            </w:tcBorders>
            <w:vAlign w:val="bottom"/>
          </w:tcPr>
          <w:p>
            <w:pPr>
              <w:jc w:val="right"/>
              <w:rPr>
                <w:rFonts w:cs="宋体" w:asciiTheme="majorEastAsia" w:hAnsiTheme="majorEastAsia" w:eastAsiaTheme="majorEastAsia"/>
                <w:b/>
                <w:bCs/>
                <w:color w:val="auto"/>
                <w:sz w:val="18"/>
                <w:szCs w:val="18"/>
              </w:rPr>
            </w:pPr>
            <w:r>
              <w:rPr>
                <w:rFonts w:hint="eastAsia" w:asciiTheme="minorEastAsia" w:hAnsiTheme="minorEastAsia" w:eastAsiaTheme="minorEastAsia"/>
                <w:b/>
                <w:bCs/>
                <w:color w:val="auto"/>
                <w:sz w:val="18"/>
                <w:szCs w:val="18"/>
              </w:rPr>
              <w:t>72,388,029.64</w:t>
            </w:r>
          </w:p>
        </w:tc>
        <w:tc>
          <w:tcPr>
            <w:tcW w:w="992" w:type="dxa"/>
            <w:tcBorders>
              <w:top w:val="single" w:color="auto" w:sz="12" w:space="0"/>
              <w:left w:val="single" w:color="000000" w:sz="4" w:space="0"/>
              <w:bottom w:val="single" w:color="000000" w:sz="12" w:space="0"/>
              <w:right w:val="single" w:color="000000" w:sz="4" w:space="0"/>
            </w:tcBorders>
            <w:vAlign w:val="bottom"/>
          </w:tcPr>
          <w:p>
            <w:pPr>
              <w:jc w:val="right"/>
              <w:rPr>
                <w:rFonts w:cs="宋体" w:asciiTheme="majorEastAsia" w:hAnsiTheme="majorEastAsia" w:eastAsiaTheme="majorEastAsia"/>
                <w:b/>
                <w:color w:val="auto"/>
                <w:sz w:val="18"/>
                <w:szCs w:val="18"/>
              </w:rPr>
            </w:pPr>
            <w:r>
              <w:rPr>
                <w:rFonts w:hint="eastAsia" w:asciiTheme="minorEastAsia" w:hAnsiTheme="minorEastAsia" w:eastAsiaTheme="minorEastAsia"/>
                <w:b/>
                <w:color w:val="auto"/>
                <w:sz w:val="18"/>
                <w:szCs w:val="18"/>
              </w:rPr>
              <w:t>100.00</w:t>
            </w:r>
          </w:p>
        </w:tc>
        <w:tc>
          <w:tcPr>
            <w:tcW w:w="1418" w:type="dxa"/>
            <w:tcBorders>
              <w:top w:val="single" w:color="auto" w:sz="12" w:space="0"/>
              <w:left w:val="single" w:color="000000" w:sz="4" w:space="0"/>
              <w:bottom w:val="single" w:color="000000" w:sz="12" w:space="0"/>
              <w:right w:val="single" w:color="000000" w:sz="4" w:space="0"/>
            </w:tcBorders>
            <w:vAlign w:val="bottom"/>
          </w:tcPr>
          <w:p>
            <w:pPr>
              <w:jc w:val="right"/>
              <w:rPr>
                <w:rFonts w:cs="宋体" w:asciiTheme="majorEastAsia" w:hAnsiTheme="majorEastAsia" w:eastAsiaTheme="majorEastAsia"/>
                <w:b/>
                <w:bCs/>
                <w:color w:val="auto"/>
                <w:sz w:val="18"/>
                <w:szCs w:val="18"/>
              </w:rPr>
            </w:pPr>
            <w:r>
              <w:rPr>
                <w:rFonts w:hint="eastAsia" w:asciiTheme="minorEastAsia" w:hAnsiTheme="minorEastAsia" w:eastAsiaTheme="minorEastAsia"/>
                <w:b/>
                <w:bCs/>
                <w:color w:val="auto"/>
                <w:sz w:val="18"/>
                <w:szCs w:val="18"/>
              </w:rPr>
              <w:t>8,323,192.26</w:t>
            </w:r>
          </w:p>
        </w:tc>
        <w:tc>
          <w:tcPr>
            <w:tcW w:w="1275" w:type="dxa"/>
            <w:tcBorders>
              <w:top w:val="single" w:color="auto" w:sz="12" w:space="0"/>
              <w:left w:val="single" w:color="000000" w:sz="4" w:space="0"/>
              <w:bottom w:val="single" w:color="000000" w:sz="12" w:space="0"/>
              <w:right w:val="single" w:color="000000" w:sz="4" w:space="0"/>
            </w:tcBorders>
            <w:vAlign w:val="bottom"/>
          </w:tcPr>
          <w:p>
            <w:pPr>
              <w:jc w:val="right"/>
              <w:rPr>
                <w:rFonts w:cs="宋体" w:asciiTheme="majorEastAsia" w:hAnsiTheme="majorEastAsia" w:eastAsiaTheme="majorEastAsia"/>
                <w:b/>
                <w:color w:val="auto"/>
                <w:sz w:val="18"/>
                <w:szCs w:val="18"/>
              </w:rPr>
            </w:pPr>
            <w:r>
              <w:rPr>
                <w:rFonts w:hint="eastAsia" w:asciiTheme="minorEastAsia" w:hAnsiTheme="minorEastAsia" w:eastAsiaTheme="minorEastAsia"/>
                <w:b/>
                <w:color w:val="auto"/>
                <w:sz w:val="18"/>
                <w:szCs w:val="18"/>
              </w:rPr>
              <w:t>11.50</w:t>
            </w:r>
          </w:p>
        </w:tc>
        <w:tc>
          <w:tcPr>
            <w:tcW w:w="1560" w:type="dxa"/>
            <w:tcBorders>
              <w:top w:val="single" w:color="auto" w:sz="12" w:space="0"/>
              <w:left w:val="single" w:color="000000" w:sz="4" w:space="0"/>
              <w:bottom w:val="single" w:color="000000" w:sz="12" w:space="0"/>
            </w:tcBorders>
            <w:vAlign w:val="bottom"/>
          </w:tcPr>
          <w:p>
            <w:pPr>
              <w:jc w:val="right"/>
              <w:rPr>
                <w:rFonts w:cs="宋体" w:asciiTheme="majorEastAsia" w:hAnsiTheme="majorEastAsia" w:eastAsiaTheme="majorEastAsia"/>
                <w:b/>
                <w:color w:val="auto"/>
                <w:sz w:val="18"/>
                <w:szCs w:val="18"/>
              </w:rPr>
            </w:pPr>
            <w:r>
              <w:rPr>
                <w:rFonts w:hint="eastAsia" w:asciiTheme="minorEastAsia" w:hAnsiTheme="minorEastAsia" w:eastAsiaTheme="minorEastAsia"/>
                <w:b/>
                <w:color w:val="auto"/>
                <w:sz w:val="18"/>
                <w:szCs w:val="18"/>
              </w:rPr>
              <w:t>64,064,837.38</w:t>
            </w:r>
          </w:p>
        </w:tc>
      </w:tr>
    </w:tbl>
    <w:p>
      <w:pPr>
        <w:spacing w:before="150" w:beforeLines="50" w:after="150" w:afterLines="50" w:line="360" w:lineRule="auto"/>
        <w:ind w:firstLine="420" w:firstLineChars="200"/>
        <w:rPr>
          <w:rFonts w:ascii="宋体" w:hAnsi="宋体"/>
          <w:bCs/>
          <w:color w:val="auto"/>
          <w:szCs w:val="21"/>
        </w:rPr>
      </w:pPr>
      <w:r>
        <w:rPr>
          <w:rFonts w:ascii="宋体" w:hAnsi="宋体"/>
          <w:bCs/>
          <w:color w:val="auto"/>
          <w:szCs w:val="21"/>
        </w:rPr>
        <w:fldChar w:fldCharType="begin"/>
      </w:r>
      <w:r>
        <w:rPr>
          <w:rFonts w:hint="eastAsia" w:ascii="宋体" w:hAnsi="宋体"/>
          <w:bCs/>
          <w:color w:val="auto"/>
          <w:szCs w:val="21"/>
        </w:rPr>
        <w:instrText xml:space="preserve">= 1 \* GB3</w:instrText>
      </w:r>
      <w:r>
        <w:rPr>
          <w:rFonts w:ascii="宋体" w:hAnsi="宋体"/>
          <w:bCs/>
          <w:color w:val="auto"/>
          <w:szCs w:val="21"/>
        </w:rPr>
        <w:fldChar w:fldCharType="separate"/>
      </w:r>
      <w:r>
        <w:rPr>
          <w:rFonts w:hint="eastAsia" w:ascii="宋体" w:hAnsi="宋体"/>
          <w:bCs/>
          <w:color w:val="auto"/>
          <w:szCs w:val="21"/>
        </w:rPr>
        <w:t>①</w:t>
      </w:r>
      <w:r>
        <w:rPr>
          <w:rFonts w:ascii="宋体" w:hAnsi="宋体"/>
          <w:bCs/>
          <w:color w:val="auto"/>
          <w:szCs w:val="21"/>
        </w:rPr>
        <w:fldChar w:fldCharType="end"/>
      </w:r>
      <w:r>
        <w:rPr>
          <w:rFonts w:ascii="宋体" w:hAnsi="宋体"/>
          <w:bCs/>
          <w:color w:val="auto"/>
          <w:szCs w:val="21"/>
        </w:rPr>
        <w:t>期末无</w:t>
      </w:r>
      <w:r>
        <w:rPr>
          <w:rFonts w:hint="eastAsia" w:ascii="宋体" w:hAnsi="宋体"/>
          <w:bCs/>
          <w:color w:val="auto"/>
          <w:szCs w:val="21"/>
        </w:rPr>
        <w:t>按</w:t>
      </w:r>
      <w:r>
        <w:rPr>
          <w:rFonts w:ascii="宋体" w:hAnsi="宋体"/>
          <w:bCs/>
          <w:color w:val="auto"/>
          <w:szCs w:val="21"/>
        </w:rPr>
        <w:t>单项计提坏账准备的应收账款</w:t>
      </w:r>
      <w:r>
        <w:rPr>
          <w:rFonts w:hint="eastAsia" w:ascii="宋体" w:hAnsi="宋体"/>
          <w:bCs/>
          <w:color w:val="auto"/>
          <w:szCs w:val="21"/>
        </w:rPr>
        <w:t>。</w:t>
      </w:r>
    </w:p>
    <w:p>
      <w:pPr>
        <w:spacing w:before="150" w:beforeLines="50" w:after="150" w:afterLines="50" w:line="360" w:lineRule="auto"/>
        <w:ind w:firstLine="420" w:firstLineChars="200"/>
        <w:rPr>
          <w:rFonts w:ascii="宋体" w:hAnsi="宋体"/>
          <w:bCs/>
          <w:color w:val="auto"/>
          <w:szCs w:val="21"/>
        </w:rPr>
      </w:pPr>
      <w:r>
        <w:rPr>
          <w:rFonts w:ascii="宋体" w:hAnsi="宋体"/>
          <w:bCs/>
          <w:color w:val="auto"/>
          <w:szCs w:val="21"/>
        </w:rPr>
        <w:fldChar w:fldCharType="begin"/>
      </w:r>
      <w:r>
        <w:rPr>
          <w:rFonts w:hint="eastAsia" w:ascii="宋体" w:hAnsi="宋体"/>
          <w:bCs/>
          <w:color w:val="auto"/>
          <w:szCs w:val="21"/>
        </w:rPr>
        <w:instrText xml:space="preserve">= 2 \* GB3</w:instrText>
      </w:r>
      <w:r>
        <w:rPr>
          <w:rFonts w:ascii="宋体" w:hAnsi="宋体"/>
          <w:bCs/>
          <w:color w:val="auto"/>
          <w:szCs w:val="21"/>
        </w:rPr>
        <w:fldChar w:fldCharType="separate"/>
      </w:r>
      <w:r>
        <w:rPr>
          <w:rFonts w:hint="eastAsia" w:ascii="宋体" w:hAnsi="宋体"/>
          <w:bCs/>
          <w:color w:val="auto"/>
          <w:szCs w:val="21"/>
        </w:rPr>
        <w:t>②</w:t>
      </w:r>
      <w:r>
        <w:rPr>
          <w:rFonts w:ascii="宋体" w:hAnsi="宋体"/>
          <w:bCs/>
          <w:color w:val="auto"/>
          <w:szCs w:val="21"/>
        </w:rPr>
        <w:fldChar w:fldCharType="end"/>
      </w:r>
      <w:r>
        <w:rPr>
          <w:rFonts w:hint="eastAsia" w:ascii="宋体" w:hAnsi="宋体"/>
          <w:bCs/>
          <w:color w:val="auto"/>
          <w:szCs w:val="21"/>
        </w:rPr>
        <w:t>按组合计提坏账准备的应收账款：</w:t>
      </w:r>
    </w:p>
    <w:tbl>
      <w:tblPr>
        <w:tblStyle w:val="9"/>
        <w:tblW w:w="0" w:type="auto"/>
        <w:jc w:val="center"/>
        <w:tblCaption w:val="&quot;\\lisheng\共享\1、伟隆2022年度审计\1、2022年度审计\1、附注及报告\2022年\附注计算-伟隆 - 2022.xlsx&quot; &quot;2022附注格式!_ReportTable_0112&quot;"/>
        <w:tblDescription w:val="A1011:D1019"/>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78"/>
        <w:gridCol w:w="2476"/>
        <w:gridCol w:w="2410"/>
        <w:gridCol w:w="196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8" w:type="dxa"/>
            <w:vMerge w:val="restart"/>
            <w:tcBorders>
              <w:top w:val="single" w:color="auto" w:sz="12" w:space="0"/>
            </w:tcBorders>
            <w:vAlign w:val="center"/>
          </w:tcPr>
          <w:p>
            <w:pPr>
              <w:jc w:val="center"/>
              <w:rPr>
                <w:rFonts w:ascii="宋体"/>
                <w:b/>
                <w:bCs/>
                <w:color w:val="auto"/>
                <w:sz w:val="18"/>
                <w:szCs w:val="18"/>
              </w:rPr>
            </w:pPr>
            <w:r>
              <w:rPr>
                <w:rFonts w:hint="eastAsia" w:ascii="宋体"/>
                <w:b/>
                <w:bCs/>
                <w:color w:val="auto"/>
                <w:sz w:val="18"/>
                <w:szCs w:val="18"/>
              </w:rPr>
              <w:t>账龄</w:t>
            </w:r>
          </w:p>
        </w:tc>
        <w:tc>
          <w:tcPr>
            <w:tcW w:w="6852" w:type="dxa"/>
            <w:gridSpan w:val="3"/>
            <w:tcBorders>
              <w:top w:val="single" w:color="auto" w:sz="12" w:space="0"/>
            </w:tcBorders>
            <w:vAlign w:val="center"/>
          </w:tcPr>
          <w:p>
            <w:pPr>
              <w:jc w:val="center"/>
              <w:rPr>
                <w:rFonts w:ascii="宋体"/>
                <w:b/>
                <w:bCs/>
                <w:color w:val="auto"/>
                <w:sz w:val="18"/>
                <w:szCs w:val="18"/>
              </w:rPr>
            </w:pPr>
            <w:r>
              <w:rPr>
                <w:rFonts w:hint="eastAsia" w:ascii="宋体"/>
                <w:b/>
                <w:bCs/>
                <w:color w:val="auto"/>
                <w:sz w:val="18"/>
                <w:szCs w:val="18"/>
              </w:rPr>
              <w:t>期末余额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8" w:type="dxa"/>
            <w:vMerge w:val="continue"/>
            <w:tcBorders>
              <w:bottom w:val="single" w:color="auto" w:sz="12" w:space="0"/>
            </w:tcBorders>
          </w:tcPr>
          <w:p>
            <w:pPr>
              <w:jc w:val="center"/>
              <w:rPr>
                <w:rFonts w:ascii="宋体"/>
                <w:b/>
                <w:bCs/>
                <w:color w:val="auto"/>
                <w:sz w:val="18"/>
                <w:szCs w:val="18"/>
              </w:rPr>
            </w:pPr>
          </w:p>
        </w:tc>
        <w:tc>
          <w:tcPr>
            <w:tcW w:w="2476" w:type="dxa"/>
            <w:tcBorders>
              <w:bottom w:val="single" w:color="auto" w:sz="12" w:space="0"/>
            </w:tcBorders>
            <w:vAlign w:val="center"/>
          </w:tcPr>
          <w:p>
            <w:pPr>
              <w:jc w:val="center"/>
              <w:rPr>
                <w:rFonts w:ascii="宋体"/>
                <w:b/>
                <w:bCs/>
                <w:color w:val="auto"/>
                <w:sz w:val="18"/>
                <w:szCs w:val="18"/>
              </w:rPr>
            </w:pPr>
            <w:r>
              <w:rPr>
                <w:rFonts w:hint="eastAsia" w:ascii="宋体"/>
                <w:b/>
                <w:bCs/>
                <w:color w:val="auto"/>
                <w:sz w:val="18"/>
                <w:szCs w:val="18"/>
              </w:rPr>
              <w:t>应收账款</w:t>
            </w:r>
          </w:p>
        </w:tc>
        <w:tc>
          <w:tcPr>
            <w:tcW w:w="2410" w:type="dxa"/>
            <w:tcBorders>
              <w:bottom w:val="single" w:color="auto" w:sz="12" w:space="0"/>
            </w:tcBorders>
            <w:vAlign w:val="center"/>
          </w:tcPr>
          <w:p>
            <w:pPr>
              <w:jc w:val="center"/>
              <w:rPr>
                <w:rFonts w:ascii="宋体"/>
                <w:b/>
                <w:bCs/>
                <w:color w:val="auto"/>
                <w:sz w:val="18"/>
                <w:szCs w:val="18"/>
              </w:rPr>
            </w:pPr>
            <w:r>
              <w:rPr>
                <w:rFonts w:hint="eastAsia" w:ascii="宋体"/>
                <w:b/>
                <w:bCs/>
                <w:color w:val="auto"/>
                <w:sz w:val="18"/>
                <w:szCs w:val="18"/>
              </w:rPr>
              <w:t>坏账准备</w:t>
            </w:r>
          </w:p>
        </w:tc>
        <w:tc>
          <w:tcPr>
            <w:tcW w:w="1966" w:type="dxa"/>
            <w:tcBorders>
              <w:bottom w:val="single" w:color="auto" w:sz="12" w:space="0"/>
            </w:tcBorders>
            <w:vAlign w:val="center"/>
          </w:tcPr>
          <w:p>
            <w:pPr>
              <w:jc w:val="center"/>
              <w:rPr>
                <w:rFonts w:ascii="宋体"/>
                <w:b/>
                <w:bCs/>
                <w:color w:val="auto"/>
                <w:sz w:val="18"/>
                <w:szCs w:val="18"/>
              </w:rPr>
            </w:pPr>
            <w:r>
              <w:rPr>
                <w:rFonts w:hint="eastAsia" w:ascii="宋体"/>
                <w:b/>
                <w:bCs/>
                <w:color w:val="auto"/>
                <w:sz w:val="18"/>
                <w:szCs w:val="18"/>
              </w:rPr>
              <w:t>计提比例（%）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178" w:type="dxa"/>
            <w:tcBorders>
              <w:top w:val="single" w:color="auto" w:sz="12" w:space="0"/>
            </w:tcBorders>
            <w:vAlign w:val="bottom"/>
          </w:tcPr>
          <w:p>
            <w:pPr>
              <w:rPr>
                <w:rFonts w:ascii="宋体" w:hAnsi="宋体"/>
                <w:color w:val="auto"/>
                <w:sz w:val="18"/>
                <w:szCs w:val="18"/>
              </w:rPr>
            </w:pPr>
            <w:r>
              <w:rPr>
                <w:rFonts w:ascii="宋体" w:hAnsi="宋体"/>
                <w:color w:val="auto"/>
                <w:sz w:val="18"/>
                <w:szCs w:val="18"/>
              </w:rPr>
              <w:t>1年以内（含1年）</w:t>
            </w:r>
          </w:p>
        </w:tc>
        <w:tc>
          <w:tcPr>
            <w:tcW w:w="2476" w:type="dxa"/>
            <w:tcBorders>
              <w:top w:val="single" w:color="auto" w:sz="12" w:space="0"/>
            </w:tcBorders>
            <w:vAlign w:val="bottom"/>
          </w:tcPr>
          <w:p>
            <w:pPr>
              <w:jc w:val="right"/>
              <w:rPr>
                <w:rFonts w:ascii="宋体" w:hAnsi="宋体" w:cs="宋体"/>
                <w:color w:val="auto"/>
                <w:sz w:val="18"/>
                <w:szCs w:val="18"/>
              </w:rPr>
            </w:pPr>
            <w:r>
              <w:rPr>
                <w:rFonts w:ascii="宋体" w:hAnsi="宋体"/>
                <w:color w:val="auto"/>
                <w:sz w:val="18"/>
                <w:szCs w:val="18"/>
              </w:rPr>
              <w:t>72,696,797.54</w:t>
            </w:r>
          </w:p>
        </w:tc>
        <w:tc>
          <w:tcPr>
            <w:tcW w:w="2410" w:type="dxa"/>
            <w:tcBorders>
              <w:top w:val="single" w:color="auto" w:sz="12" w:space="0"/>
            </w:tcBorders>
            <w:vAlign w:val="bottom"/>
          </w:tcPr>
          <w:p>
            <w:pPr>
              <w:jc w:val="right"/>
              <w:rPr>
                <w:rFonts w:ascii="宋体" w:hAnsi="宋体" w:cs="宋体"/>
                <w:color w:val="auto"/>
                <w:sz w:val="18"/>
                <w:szCs w:val="18"/>
              </w:rPr>
            </w:pPr>
            <w:r>
              <w:rPr>
                <w:rFonts w:ascii="宋体" w:hAnsi="宋体"/>
                <w:color w:val="auto"/>
                <w:sz w:val="18"/>
                <w:szCs w:val="18"/>
              </w:rPr>
              <w:t>3,634,839.88</w:t>
            </w:r>
          </w:p>
        </w:tc>
        <w:tc>
          <w:tcPr>
            <w:tcW w:w="1966" w:type="dxa"/>
            <w:tcBorders>
              <w:top w:val="single" w:color="auto" w:sz="12" w:space="0"/>
            </w:tcBorders>
            <w:vAlign w:val="bottom"/>
          </w:tcPr>
          <w:p>
            <w:pPr>
              <w:jc w:val="right"/>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5.00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178" w:type="dxa"/>
            <w:vAlign w:val="bottom"/>
          </w:tcPr>
          <w:p>
            <w:pPr>
              <w:rPr>
                <w:rFonts w:ascii="宋体" w:hAnsi="宋体"/>
                <w:color w:val="auto"/>
                <w:sz w:val="18"/>
                <w:szCs w:val="18"/>
              </w:rPr>
            </w:pPr>
            <w:r>
              <w:rPr>
                <w:rFonts w:ascii="宋体" w:hAnsi="宋体"/>
                <w:color w:val="auto"/>
                <w:sz w:val="18"/>
                <w:szCs w:val="18"/>
              </w:rPr>
              <w:t>1至2年（含2年）</w:t>
            </w:r>
          </w:p>
        </w:tc>
        <w:tc>
          <w:tcPr>
            <w:tcW w:w="2476" w:type="dxa"/>
            <w:vAlign w:val="bottom"/>
          </w:tcPr>
          <w:p>
            <w:pPr>
              <w:jc w:val="right"/>
              <w:rPr>
                <w:rFonts w:ascii="宋体" w:hAnsi="宋体" w:cs="宋体"/>
                <w:color w:val="auto"/>
                <w:sz w:val="18"/>
                <w:szCs w:val="18"/>
              </w:rPr>
            </w:pPr>
            <w:r>
              <w:rPr>
                <w:rFonts w:ascii="宋体" w:hAnsi="宋体"/>
                <w:color w:val="auto"/>
                <w:sz w:val="18"/>
                <w:szCs w:val="18"/>
              </w:rPr>
              <w:t>3,226,876.28</w:t>
            </w:r>
          </w:p>
        </w:tc>
        <w:tc>
          <w:tcPr>
            <w:tcW w:w="2410" w:type="dxa"/>
            <w:vAlign w:val="bottom"/>
          </w:tcPr>
          <w:p>
            <w:pPr>
              <w:jc w:val="right"/>
              <w:rPr>
                <w:rFonts w:ascii="宋体" w:hAnsi="宋体" w:cs="宋体"/>
                <w:color w:val="auto"/>
                <w:sz w:val="18"/>
                <w:szCs w:val="18"/>
              </w:rPr>
            </w:pPr>
            <w:r>
              <w:rPr>
                <w:rFonts w:ascii="宋体" w:hAnsi="宋体"/>
                <w:color w:val="auto"/>
                <w:sz w:val="18"/>
                <w:szCs w:val="18"/>
              </w:rPr>
              <w:t>322,687.63</w:t>
            </w:r>
          </w:p>
        </w:tc>
        <w:tc>
          <w:tcPr>
            <w:tcW w:w="1966" w:type="dxa"/>
            <w:vAlign w:val="bottom"/>
          </w:tcPr>
          <w:p>
            <w:pPr>
              <w:jc w:val="right"/>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10.00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178" w:type="dxa"/>
            <w:vAlign w:val="bottom"/>
          </w:tcPr>
          <w:p>
            <w:pPr>
              <w:rPr>
                <w:rFonts w:ascii="宋体" w:hAnsi="宋体"/>
                <w:color w:val="auto"/>
                <w:sz w:val="18"/>
                <w:szCs w:val="18"/>
              </w:rPr>
            </w:pPr>
            <w:r>
              <w:rPr>
                <w:rFonts w:ascii="宋体" w:hAnsi="宋体"/>
                <w:color w:val="auto"/>
                <w:sz w:val="18"/>
                <w:szCs w:val="18"/>
              </w:rPr>
              <w:t>2至3年（含3年）</w:t>
            </w:r>
          </w:p>
        </w:tc>
        <w:tc>
          <w:tcPr>
            <w:tcW w:w="2476" w:type="dxa"/>
            <w:vAlign w:val="bottom"/>
          </w:tcPr>
          <w:p>
            <w:pPr>
              <w:jc w:val="right"/>
              <w:rPr>
                <w:rFonts w:ascii="宋体" w:hAnsi="宋体" w:cs="宋体"/>
                <w:color w:val="auto"/>
                <w:sz w:val="18"/>
                <w:szCs w:val="18"/>
              </w:rPr>
            </w:pPr>
            <w:r>
              <w:rPr>
                <w:rFonts w:ascii="宋体" w:hAnsi="宋体"/>
                <w:color w:val="auto"/>
                <w:sz w:val="18"/>
                <w:szCs w:val="18"/>
              </w:rPr>
              <w:t>2,253,677.07</w:t>
            </w:r>
          </w:p>
        </w:tc>
        <w:tc>
          <w:tcPr>
            <w:tcW w:w="2410" w:type="dxa"/>
            <w:vAlign w:val="bottom"/>
          </w:tcPr>
          <w:p>
            <w:pPr>
              <w:jc w:val="right"/>
              <w:rPr>
                <w:rFonts w:ascii="宋体" w:hAnsi="宋体" w:cs="宋体"/>
                <w:color w:val="auto"/>
                <w:sz w:val="18"/>
                <w:szCs w:val="18"/>
              </w:rPr>
            </w:pPr>
            <w:r>
              <w:rPr>
                <w:rFonts w:ascii="宋体" w:hAnsi="宋体"/>
                <w:color w:val="auto"/>
                <w:sz w:val="18"/>
                <w:szCs w:val="18"/>
              </w:rPr>
              <w:t>676,103.12</w:t>
            </w:r>
          </w:p>
        </w:tc>
        <w:tc>
          <w:tcPr>
            <w:tcW w:w="1966" w:type="dxa"/>
            <w:vAlign w:val="bottom"/>
          </w:tcPr>
          <w:p>
            <w:pPr>
              <w:jc w:val="right"/>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30.00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178" w:type="dxa"/>
            <w:vAlign w:val="bottom"/>
          </w:tcPr>
          <w:p>
            <w:pPr>
              <w:rPr>
                <w:rFonts w:ascii="宋体" w:hAnsi="宋体"/>
                <w:color w:val="auto"/>
                <w:sz w:val="18"/>
                <w:szCs w:val="18"/>
              </w:rPr>
            </w:pPr>
            <w:r>
              <w:rPr>
                <w:rFonts w:ascii="宋体" w:hAnsi="宋体"/>
                <w:color w:val="auto"/>
                <w:sz w:val="18"/>
                <w:szCs w:val="18"/>
              </w:rPr>
              <w:t>3至4年（含4年）</w:t>
            </w:r>
          </w:p>
        </w:tc>
        <w:tc>
          <w:tcPr>
            <w:tcW w:w="2476" w:type="dxa"/>
            <w:vAlign w:val="bottom"/>
          </w:tcPr>
          <w:p>
            <w:pPr>
              <w:jc w:val="right"/>
              <w:rPr>
                <w:rFonts w:ascii="宋体" w:hAnsi="宋体" w:cs="宋体"/>
                <w:color w:val="auto"/>
                <w:sz w:val="18"/>
                <w:szCs w:val="18"/>
              </w:rPr>
            </w:pPr>
            <w:r>
              <w:rPr>
                <w:rFonts w:ascii="宋体" w:hAnsi="宋体"/>
                <w:color w:val="auto"/>
                <w:sz w:val="18"/>
                <w:szCs w:val="18"/>
              </w:rPr>
              <w:t>1,410,758.43</w:t>
            </w:r>
          </w:p>
        </w:tc>
        <w:tc>
          <w:tcPr>
            <w:tcW w:w="2410" w:type="dxa"/>
            <w:vAlign w:val="bottom"/>
          </w:tcPr>
          <w:p>
            <w:pPr>
              <w:jc w:val="right"/>
              <w:rPr>
                <w:rFonts w:ascii="宋体" w:hAnsi="宋体" w:cs="宋体"/>
                <w:color w:val="auto"/>
                <w:sz w:val="18"/>
                <w:szCs w:val="18"/>
              </w:rPr>
            </w:pPr>
            <w:r>
              <w:rPr>
                <w:rFonts w:ascii="宋体" w:hAnsi="宋体"/>
                <w:color w:val="auto"/>
                <w:sz w:val="18"/>
                <w:szCs w:val="18"/>
              </w:rPr>
              <w:t>705,379.22</w:t>
            </w:r>
          </w:p>
        </w:tc>
        <w:tc>
          <w:tcPr>
            <w:tcW w:w="1966" w:type="dxa"/>
            <w:vAlign w:val="bottom"/>
          </w:tcPr>
          <w:p>
            <w:pPr>
              <w:jc w:val="right"/>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50.00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178" w:type="dxa"/>
            <w:vAlign w:val="bottom"/>
          </w:tcPr>
          <w:p>
            <w:pPr>
              <w:rPr>
                <w:rFonts w:ascii="宋体" w:hAnsi="宋体"/>
                <w:color w:val="auto"/>
                <w:sz w:val="18"/>
                <w:szCs w:val="18"/>
              </w:rPr>
            </w:pPr>
            <w:r>
              <w:rPr>
                <w:rFonts w:ascii="宋体" w:hAnsi="宋体"/>
                <w:color w:val="auto"/>
                <w:sz w:val="18"/>
                <w:szCs w:val="18"/>
              </w:rPr>
              <w:t>4至5年（含5年）</w:t>
            </w:r>
          </w:p>
        </w:tc>
        <w:tc>
          <w:tcPr>
            <w:tcW w:w="2476" w:type="dxa"/>
            <w:vAlign w:val="bottom"/>
          </w:tcPr>
          <w:p>
            <w:pPr>
              <w:jc w:val="right"/>
              <w:rPr>
                <w:rFonts w:ascii="宋体" w:hAnsi="宋体" w:cs="宋体"/>
                <w:color w:val="auto"/>
                <w:sz w:val="18"/>
                <w:szCs w:val="18"/>
              </w:rPr>
            </w:pPr>
            <w:r>
              <w:rPr>
                <w:rFonts w:ascii="宋体" w:hAnsi="宋体"/>
                <w:color w:val="auto"/>
                <w:sz w:val="18"/>
                <w:szCs w:val="18"/>
              </w:rPr>
              <w:t>1,592,964.49</w:t>
            </w:r>
          </w:p>
        </w:tc>
        <w:tc>
          <w:tcPr>
            <w:tcW w:w="2410" w:type="dxa"/>
            <w:vAlign w:val="bottom"/>
          </w:tcPr>
          <w:p>
            <w:pPr>
              <w:jc w:val="right"/>
              <w:rPr>
                <w:rFonts w:ascii="宋体" w:hAnsi="宋体" w:cs="宋体"/>
                <w:color w:val="auto"/>
                <w:sz w:val="18"/>
                <w:szCs w:val="18"/>
              </w:rPr>
            </w:pPr>
            <w:r>
              <w:rPr>
                <w:rFonts w:ascii="宋体" w:hAnsi="宋体"/>
                <w:color w:val="auto"/>
                <w:sz w:val="18"/>
                <w:szCs w:val="18"/>
              </w:rPr>
              <w:t>1,274,371.59</w:t>
            </w:r>
          </w:p>
        </w:tc>
        <w:tc>
          <w:tcPr>
            <w:tcW w:w="1966" w:type="dxa"/>
            <w:vAlign w:val="bottom"/>
          </w:tcPr>
          <w:p>
            <w:pPr>
              <w:jc w:val="right"/>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80.00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178" w:type="dxa"/>
            <w:tcBorders>
              <w:bottom w:val="single" w:color="auto" w:sz="12" w:space="0"/>
            </w:tcBorders>
            <w:vAlign w:val="bottom"/>
          </w:tcPr>
          <w:p>
            <w:pPr>
              <w:rPr>
                <w:rFonts w:ascii="宋体" w:hAnsi="宋体"/>
                <w:color w:val="auto"/>
                <w:sz w:val="18"/>
                <w:szCs w:val="18"/>
              </w:rPr>
            </w:pPr>
            <w:r>
              <w:rPr>
                <w:rFonts w:ascii="宋体" w:hAnsi="宋体"/>
                <w:color w:val="auto"/>
                <w:sz w:val="18"/>
                <w:szCs w:val="18"/>
              </w:rPr>
              <w:t>5年以上</w:t>
            </w:r>
          </w:p>
        </w:tc>
        <w:tc>
          <w:tcPr>
            <w:tcW w:w="2476" w:type="dxa"/>
            <w:tcBorders>
              <w:bottom w:val="single" w:color="auto" w:sz="12" w:space="0"/>
            </w:tcBorders>
            <w:vAlign w:val="bottom"/>
          </w:tcPr>
          <w:p>
            <w:pPr>
              <w:jc w:val="right"/>
              <w:rPr>
                <w:rFonts w:ascii="宋体" w:hAnsi="宋体" w:cs="宋体"/>
                <w:color w:val="auto"/>
                <w:sz w:val="18"/>
                <w:szCs w:val="18"/>
              </w:rPr>
            </w:pPr>
            <w:r>
              <w:rPr>
                <w:rFonts w:ascii="宋体" w:hAnsi="宋体"/>
                <w:color w:val="auto"/>
                <w:sz w:val="18"/>
                <w:szCs w:val="18"/>
              </w:rPr>
              <w:t>1,352,485.95</w:t>
            </w:r>
          </w:p>
        </w:tc>
        <w:tc>
          <w:tcPr>
            <w:tcW w:w="2410" w:type="dxa"/>
            <w:tcBorders>
              <w:bottom w:val="single" w:color="auto" w:sz="12" w:space="0"/>
            </w:tcBorders>
            <w:vAlign w:val="bottom"/>
          </w:tcPr>
          <w:p>
            <w:pPr>
              <w:jc w:val="right"/>
              <w:rPr>
                <w:rFonts w:ascii="宋体" w:hAnsi="宋体" w:cs="宋体"/>
                <w:color w:val="auto"/>
                <w:sz w:val="18"/>
                <w:szCs w:val="18"/>
              </w:rPr>
            </w:pPr>
            <w:r>
              <w:rPr>
                <w:rFonts w:ascii="宋体" w:hAnsi="宋体"/>
                <w:color w:val="auto"/>
                <w:sz w:val="18"/>
                <w:szCs w:val="18"/>
              </w:rPr>
              <w:t>1,352,485.95</w:t>
            </w:r>
          </w:p>
        </w:tc>
        <w:tc>
          <w:tcPr>
            <w:tcW w:w="1966" w:type="dxa"/>
            <w:tcBorders>
              <w:bottom w:val="single" w:color="auto" w:sz="12" w:space="0"/>
            </w:tcBorders>
            <w:vAlign w:val="bottom"/>
          </w:tcPr>
          <w:p>
            <w:pPr>
              <w:jc w:val="right"/>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100.00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178" w:type="dxa"/>
            <w:tcBorders>
              <w:top w:val="single" w:color="auto" w:sz="12" w:space="0"/>
              <w:bottom w:val="single" w:color="auto" w:sz="12" w:space="0"/>
            </w:tcBorders>
            <w:vAlign w:val="bottom"/>
          </w:tcPr>
          <w:p>
            <w:pPr>
              <w:jc w:val="center"/>
              <w:rPr>
                <w:rFonts w:ascii="宋体"/>
                <w:b/>
                <w:bCs/>
                <w:color w:val="auto"/>
                <w:sz w:val="18"/>
                <w:szCs w:val="18"/>
              </w:rPr>
            </w:pPr>
            <w:r>
              <w:rPr>
                <w:rFonts w:hint="eastAsia" w:ascii="宋体"/>
                <w:b/>
                <w:bCs/>
                <w:color w:val="auto"/>
                <w:sz w:val="18"/>
                <w:szCs w:val="18"/>
              </w:rPr>
              <w:t>合计</w:t>
            </w:r>
          </w:p>
        </w:tc>
        <w:tc>
          <w:tcPr>
            <w:tcW w:w="2476" w:type="dxa"/>
            <w:tcBorders>
              <w:top w:val="single" w:color="auto" w:sz="12" w:space="0"/>
              <w:bottom w:val="single" w:color="auto" w:sz="12" w:space="0"/>
            </w:tcBorders>
            <w:vAlign w:val="bottom"/>
          </w:tcPr>
          <w:p>
            <w:pPr>
              <w:jc w:val="right"/>
              <w:rPr>
                <w:rFonts w:ascii="宋体" w:hAnsi="宋体" w:cs="宋体"/>
                <w:b/>
                <w:bCs/>
                <w:color w:val="auto"/>
                <w:sz w:val="18"/>
                <w:szCs w:val="18"/>
              </w:rPr>
            </w:pPr>
            <w:r>
              <w:rPr>
                <w:rFonts w:ascii="宋体" w:hAnsi="宋体"/>
                <w:b/>
                <w:bCs/>
                <w:color w:val="auto"/>
                <w:sz w:val="18"/>
                <w:szCs w:val="18"/>
              </w:rPr>
              <w:t>82,533,559.76</w:t>
            </w:r>
          </w:p>
        </w:tc>
        <w:tc>
          <w:tcPr>
            <w:tcW w:w="2410" w:type="dxa"/>
            <w:tcBorders>
              <w:top w:val="single" w:color="auto" w:sz="12" w:space="0"/>
              <w:bottom w:val="single" w:color="auto" w:sz="12" w:space="0"/>
            </w:tcBorders>
            <w:vAlign w:val="bottom"/>
          </w:tcPr>
          <w:p>
            <w:pPr>
              <w:jc w:val="right"/>
              <w:rPr>
                <w:rFonts w:ascii="宋体" w:hAnsi="宋体" w:cs="宋体"/>
                <w:b/>
                <w:bCs/>
                <w:color w:val="auto"/>
                <w:sz w:val="18"/>
                <w:szCs w:val="18"/>
              </w:rPr>
            </w:pPr>
            <w:r>
              <w:rPr>
                <w:rFonts w:ascii="宋体" w:hAnsi="宋体"/>
                <w:b/>
                <w:bCs/>
                <w:color w:val="auto"/>
                <w:sz w:val="18"/>
                <w:szCs w:val="18"/>
              </w:rPr>
              <w:t>7,965,867.39</w:t>
            </w:r>
          </w:p>
        </w:tc>
        <w:tc>
          <w:tcPr>
            <w:tcW w:w="1966" w:type="dxa"/>
            <w:tcBorders>
              <w:top w:val="single" w:color="auto" w:sz="12" w:space="0"/>
              <w:bottom w:val="single" w:color="auto" w:sz="12" w:space="0"/>
            </w:tcBorders>
            <w:vAlign w:val="bottom"/>
          </w:tcPr>
          <w:p>
            <w:pPr>
              <w:jc w:val="right"/>
              <w:rPr>
                <w:rFonts w:ascii="宋体" w:hAnsi="宋体" w:cs="宋体"/>
                <w:b/>
                <w:bCs/>
                <w:color w:val="auto"/>
                <w:sz w:val="18"/>
                <w:szCs w:val="18"/>
              </w:rPr>
            </w:pPr>
          </w:p>
        </w:tc>
      </w:tr>
    </w:tbl>
    <w:p>
      <w:pPr>
        <w:spacing w:before="150" w:beforeLines="50" w:after="150" w:afterLines="50" w:line="360" w:lineRule="auto"/>
        <w:ind w:firstLine="420" w:firstLineChars="200"/>
        <w:rPr>
          <w:rFonts w:ascii="宋体" w:hAnsi="宋体"/>
          <w:bCs/>
          <w:color w:val="auto"/>
          <w:szCs w:val="21"/>
        </w:rPr>
      </w:pPr>
      <w:r>
        <w:rPr>
          <w:rFonts w:ascii="宋体" w:hAnsi="宋体"/>
          <w:bCs/>
          <w:color w:val="auto"/>
          <w:szCs w:val="21"/>
        </w:rPr>
        <w:t>（</w:t>
      </w:r>
      <w:r>
        <w:rPr>
          <w:rFonts w:hint="eastAsia" w:ascii="宋体" w:hAnsi="宋体"/>
          <w:bCs/>
          <w:color w:val="auto"/>
          <w:szCs w:val="21"/>
        </w:rPr>
        <w:t>2</w:t>
      </w:r>
      <w:r>
        <w:rPr>
          <w:rFonts w:ascii="宋体" w:hAnsi="宋体"/>
          <w:bCs/>
          <w:color w:val="auto"/>
          <w:szCs w:val="21"/>
        </w:rPr>
        <w:t>）本期计提、收回或转回的坏账准备情况</w:t>
      </w:r>
      <w:r>
        <w:rPr>
          <w:rFonts w:hint="eastAsia" w:ascii="宋体" w:hAnsi="宋体"/>
          <w:bCs/>
          <w:color w:val="auto"/>
          <w:szCs w:val="21"/>
        </w:rPr>
        <w:t>：</w:t>
      </w:r>
    </w:p>
    <w:tbl>
      <w:tblPr>
        <w:tblStyle w:val="9"/>
        <w:tblW w:w="5000" w:type="pct"/>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28" w:type="dxa"/>
          <w:bottom w:w="0" w:type="dxa"/>
          <w:right w:w="28" w:type="dxa"/>
        </w:tblCellMar>
      </w:tblPr>
      <w:tblGrid>
        <w:gridCol w:w="1868"/>
        <w:gridCol w:w="1723"/>
        <w:gridCol w:w="1437"/>
        <w:gridCol w:w="1435"/>
        <w:gridCol w:w="1615"/>
        <w:gridCol w:w="1615"/>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964" w:type="pct"/>
            <w:vMerge w:val="restart"/>
            <w:tcBorders>
              <w:top w:val="single" w:color="auto" w:sz="12" w:space="0"/>
              <w:bottom w:val="single" w:color="auto" w:sz="4" w:space="0"/>
              <w:right w:val="single" w:color="auto" w:sz="4" w:space="0"/>
            </w:tcBorders>
            <w:vAlign w:val="center"/>
          </w:tcPr>
          <w:p>
            <w:pPr>
              <w:jc w:val="center"/>
              <w:rPr>
                <w:b/>
                <w:color w:val="auto"/>
                <w:sz w:val="18"/>
                <w:szCs w:val="18"/>
                <w:shd w:val="clear" w:color="auto" w:fill="FFFFFF"/>
              </w:rPr>
            </w:pPr>
            <w:r>
              <w:rPr>
                <w:rFonts w:hint="eastAsia" w:ascii="宋体"/>
                <w:b/>
                <w:bCs/>
                <w:color w:val="auto"/>
                <w:sz w:val="18"/>
                <w:szCs w:val="18"/>
              </w:rPr>
              <w:t>类别</w:t>
            </w:r>
          </w:p>
        </w:tc>
        <w:tc>
          <w:tcPr>
            <w:tcW w:w="889" w:type="pct"/>
            <w:vMerge w:val="restart"/>
            <w:tcBorders>
              <w:top w:val="single" w:color="auto" w:sz="12" w:space="0"/>
              <w:left w:val="single" w:color="auto" w:sz="4" w:space="0"/>
              <w:bottom w:val="single" w:color="auto" w:sz="4" w:space="0"/>
              <w:right w:val="single" w:color="auto" w:sz="4" w:space="0"/>
            </w:tcBorders>
            <w:vAlign w:val="center"/>
          </w:tcPr>
          <w:p>
            <w:pPr>
              <w:jc w:val="center"/>
              <w:rPr>
                <w:b/>
                <w:color w:val="auto"/>
                <w:sz w:val="18"/>
                <w:szCs w:val="18"/>
                <w:shd w:val="clear" w:color="auto" w:fill="FFFFFF"/>
              </w:rPr>
            </w:pPr>
            <w:r>
              <w:rPr>
                <w:rFonts w:hint="eastAsia" w:ascii="宋体"/>
                <w:b/>
                <w:bCs/>
                <w:color w:val="auto"/>
                <w:sz w:val="18"/>
                <w:szCs w:val="18"/>
              </w:rPr>
              <w:t>期初余额</w:t>
            </w:r>
          </w:p>
        </w:tc>
        <w:tc>
          <w:tcPr>
            <w:tcW w:w="2314" w:type="pct"/>
            <w:gridSpan w:val="3"/>
            <w:tcBorders>
              <w:top w:val="single" w:color="auto" w:sz="12" w:space="0"/>
              <w:left w:val="single" w:color="auto" w:sz="4" w:space="0"/>
              <w:bottom w:val="single" w:color="auto" w:sz="4" w:space="0"/>
              <w:right w:val="single" w:color="auto" w:sz="4" w:space="0"/>
            </w:tcBorders>
            <w:vAlign w:val="center"/>
          </w:tcPr>
          <w:p>
            <w:pPr>
              <w:jc w:val="center"/>
              <w:rPr>
                <w:rFonts w:ascii="宋体"/>
                <w:b/>
                <w:bCs/>
                <w:color w:val="auto"/>
                <w:sz w:val="18"/>
                <w:szCs w:val="18"/>
              </w:rPr>
            </w:pPr>
            <w:r>
              <w:rPr>
                <w:rFonts w:hint="eastAsia" w:ascii="宋体"/>
                <w:b/>
                <w:bCs/>
                <w:color w:val="auto"/>
                <w:sz w:val="18"/>
                <w:szCs w:val="18"/>
              </w:rPr>
              <w:t>本期变动金额</w:t>
            </w:r>
          </w:p>
        </w:tc>
        <w:tc>
          <w:tcPr>
            <w:tcW w:w="833" w:type="pct"/>
            <w:vMerge w:val="restart"/>
            <w:tcBorders>
              <w:top w:val="single" w:color="auto" w:sz="12" w:space="0"/>
              <w:left w:val="single" w:color="auto" w:sz="4" w:space="0"/>
              <w:bottom w:val="single" w:color="auto" w:sz="4" w:space="0"/>
            </w:tcBorders>
            <w:vAlign w:val="center"/>
          </w:tcPr>
          <w:p>
            <w:pPr>
              <w:jc w:val="center"/>
              <w:rPr>
                <w:b/>
                <w:color w:val="auto"/>
                <w:sz w:val="18"/>
                <w:szCs w:val="18"/>
                <w:shd w:val="clear" w:color="auto" w:fill="FFFFFF"/>
              </w:rPr>
            </w:pPr>
            <w:r>
              <w:rPr>
                <w:rFonts w:hint="eastAsia" w:ascii="宋体"/>
                <w:b/>
                <w:bCs/>
                <w:color w:val="auto"/>
                <w:sz w:val="18"/>
                <w:szCs w:val="18"/>
              </w:rPr>
              <w:t>期末余额</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964" w:type="pct"/>
            <w:vMerge w:val="continue"/>
            <w:tcBorders>
              <w:top w:val="single" w:color="auto" w:sz="4" w:space="0"/>
              <w:bottom w:val="single" w:color="auto" w:sz="12" w:space="0"/>
              <w:right w:val="single" w:color="auto" w:sz="4" w:space="0"/>
            </w:tcBorders>
            <w:vAlign w:val="center"/>
          </w:tcPr>
          <w:p>
            <w:pPr>
              <w:jc w:val="center"/>
              <w:rPr>
                <w:b/>
                <w:color w:val="auto"/>
                <w:sz w:val="18"/>
                <w:szCs w:val="18"/>
                <w:shd w:val="clear" w:color="auto" w:fill="FFFFFF"/>
              </w:rPr>
            </w:pPr>
          </w:p>
        </w:tc>
        <w:tc>
          <w:tcPr>
            <w:tcW w:w="889" w:type="pct"/>
            <w:vMerge w:val="continue"/>
            <w:tcBorders>
              <w:top w:val="single" w:color="auto" w:sz="4" w:space="0"/>
              <w:left w:val="single" w:color="auto" w:sz="4" w:space="0"/>
              <w:bottom w:val="single" w:color="auto" w:sz="12" w:space="0"/>
              <w:right w:val="single" w:color="auto" w:sz="4" w:space="0"/>
            </w:tcBorders>
            <w:vAlign w:val="center"/>
          </w:tcPr>
          <w:p>
            <w:pPr>
              <w:jc w:val="center"/>
              <w:rPr>
                <w:b/>
                <w:color w:val="auto"/>
                <w:sz w:val="18"/>
                <w:szCs w:val="18"/>
                <w:shd w:val="clear" w:color="auto" w:fill="FFFFFF"/>
              </w:rPr>
            </w:pPr>
          </w:p>
        </w:tc>
        <w:tc>
          <w:tcPr>
            <w:tcW w:w="741" w:type="pct"/>
            <w:tcBorders>
              <w:top w:val="single" w:color="auto" w:sz="4" w:space="0"/>
              <w:left w:val="single" w:color="auto" w:sz="4" w:space="0"/>
              <w:bottom w:val="single" w:color="auto" w:sz="12" w:space="0"/>
              <w:right w:val="single" w:color="auto" w:sz="4" w:space="0"/>
            </w:tcBorders>
            <w:vAlign w:val="center"/>
          </w:tcPr>
          <w:p>
            <w:pPr>
              <w:jc w:val="center"/>
              <w:rPr>
                <w:rFonts w:ascii="宋体"/>
                <w:b/>
                <w:bCs/>
                <w:color w:val="auto"/>
                <w:sz w:val="18"/>
                <w:szCs w:val="18"/>
              </w:rPr>
            </w:pPr>
            <w:r>
              <w:rPr>
                <w:rFonts w:hint="eastAsia" w:ascii="宋体"/>
                <w:b/>
                <w:bCs/>
                <w:color w:val="auto"/>
                <w:sz w:val="18"/>
                <w:szCs w:val="18"/>
              </w:rPr>
              <w:t>计提</w:t>
            </w:r>
          </w:p>
        </w:tc>
        <w:tc>
          <w:tcPr>
            <w:tcW w:w="740" w:type="pct"/>
            <w:tcBorders>
              <w:top w:val="single" w:color="auto" w:sz="4" w:space="0"/>
              <w:left w:val="single" w:color="auto" w:sz="4" w:space="0"/>
              <w:bottom w:val="single" w:color="auto" w:sz="12" w:space="0"/>
              <w:right w:val="single" w:color="auto" w:sz="4" w:space="0"/>
            </w:tcBorders>
            <w:vAlign w:val="center"/>
          </w:tcPr>
          <w:p>
            <w:pPr>
              <w:jc w:val="center"/>
              <w:rPr>
                <w:rFonts w:ascii="宋体"/>
                <w:b/>
                <w:bCs/>
                <w:color w:val="auto"/>
                <w:sz w:val="18"/>
                <w:szCs w:val="18"/>
              </w:rPr>
            </w:pPr>
            <w:r>
              <w:rPr>
                <w:rFonts w:hint="eastAsia" w:ascii="宋体"/>
                <w:b/>
                <w:bCs/>
                <w:color w:val="auto"/>
                <w:sz w:val="18"/>
                <w:szCs w:val="18"/>
              </w:rPr>
              <w:t>收回或转回</w:t>
            </w:r>
          </w:p>
        </w:tc>
        <w:tc>
          <w:tcPr>
            <w:tcW w:w="833" w:type="pct"/>
            <w:tcBorders>
              <w:top w:val="single" w:color="auto" w:sz="4" w:space="0"/>
              <w:left w:val="single" w:color="auto" w:sz="4" w:space="0"/>
              <w:bottom w:val="single" w:color="auto" w:sz="12" w:space="0"/>
              <w:right w:val="single" w:color="auto" w:sz="4" w:space="0"/>
            </w:tcBorders>
            <w:vAlign w:val="center"/>
          </w:tcPr>
          <w:p>
            <w:pPr>
              <w:jc w:val="center"/>
              <w:rPr>
                <w:rFonts w:ascii="宋体"/>
                <w:b/>
                <w:bCs/>
                <w:color w:val="auto"/>
                <w:sz w:val="18"/>
                <w:szCs w:val="18"/>
              </w:rPr>
            </w:pPr>
            <w:r>
              <w:rPr>
                <w:rFonts w:hint="eastAsia" w:ascii="宋体"/>
                <w:b/>
                <w:bCs/>
                <w:color w:val="auto"/>
                <w:sz w:val="18"/>
                <w:szCs w:val="18"/>
              </w:rPr>
              <w:t>核销</w:t>
            </w:r>
          </w:p>
        </w:tc>
        <w:tc>
          <w:tcPr>
            <w:tcW w:w="833" w:type="pct"/>
            <w:vMerge w:val="continue"/>
            <w:tcBorders>
              <w:top w:val="single" w:color="auto" w:sz="4" w:space="0"/>
              <w:left w:val="single" w:color="auto" w:sz="4" w:space="0"/>
              <w:bottom w:val="single" w:color="auto" w:sz="12" w:space="0"/>
            </w:tcBorders>
            <w:vAlign w:val="center"/>
          </w:tcPr>
          <w:p>
            <w:pPr>
              <w:jc w:val="center"/>
              <w:rPr>
                <w:color w:val="auto"/>
                <w:sz w:val="18"/>
                <w:szCs w:val="18"/>
                <w:shd w:val="clear" w:color="auto" w:fill="FFFFFF"/>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964" w:type="pct"/>
            <w:tcBorders>
              <w:top w:val="single" w:color="auto" w:sz="12" w:space="0"/>
              <w:bottom w:val="single" w:color="auto" w:sz="4" w:space="0"/>
              <w:right w:val="single" w:color="auto" w:sz="4" w:space="0"/>
            </w:tcBorders>
            <w:vAlign w:val="bottom"/>
          </w:tcPr>
          <w:p>
            <w:pPr>
              <w:rPr>
                <w:color w:val="auto"/>
                <w:sz w:val="18"/>
                <w:szCs w:val="18"/>
                <w:shd w:val="clear" w:color="auto" w:fill="FFFFFF"/>
              </w:rPr>
            </w:pPr>
            <w:r>
              <w:rPr>
                <w:rFonts w:hint="eastAsia"/>
                <w:color w:val="auto"/>
                <w:sz w:val="18"/>
                <w:szCs w:val="18"/>
              </w:rPr>
              <w:t>按单项计提坏账准备</w:t>
            </w:r>
          </w:p>
        </w:tc>
        <w:tc>
          <w:tcPr>
            <w:tcW w:w="889"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741"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740"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833"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833" w:type="pct"/>
            <w:tcBorders>
              <w:top w:val="single" w:color="auto" w:sz="12" w:space="0"/>
              <w:left w:val="single" w:color="auto" w:sz="4" w:space="0"/>
              <w:bottom w:val="single" w:color="auto" w:sz="4" w:space="0"/>
            </w:tcBorders>
            <w:vAlign w:val="bottom"/>
          </w:tcPr>
          <w:p>
            <w:pPr>
              <w:jc w:val="right"/>
              <w:rPr>
                <w:rFonts w:ascii="宋体" w:hAnsi="宋体" w:cs="宋体"/>
                <w:color w:val="auto"/>
                <w:sz w:val="18"/>
                <w:szCs w:val="18"/>
              </w:rPr>
            </w:pPr>
          </w:p>
          <w:p>
            <w:pPr>
              <w:jc w:val="right"/>
              <w:rPr>
                <w:rFonts w:ascii="宋体" w:hAnsi="宋体" w:cs="宋体"/>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964" w:type="pct"/>
            <w:tcBorders>
              <w:top w:val="single" w:color="auto" w:sz="4" w:space="0"/>
              <w:bottom w:val="single" w:color="auto" w:sz="12" w:space="0"/>
              <w:right w:val="single" w:color="auto" w:sz="4" w:space="0"/>
            </w:tcBorders>
            <w:vAlign w:val="bottom"/>
          </w:tcPr>
          <w:p>
            <w:pPr>
              <w:rPr>
                <w:color w:val="auto"/>
                <w:sz w:val="18"/>
                <w:szCs w:val="18"/>
              </w:rPr>
            </w:pPr>
            <w:r>
              <w:rPr>
                <w:rFonts w:hint="eastAsia"/>
                <w:color w:val="auto"/>
                <w:sz w:val="18"/>
                <w:szCs w:val="18"/>
              </w:rPr>
              <w:t>按组合计提坏账准备</w:t>
            </w:r>
          </w:p>
        </w:tc>
        <w:tc>
          <w:tcPr>
            <w:tcW w:w="889" w:type="pct"/>
            <w:tcBorders>
              <w:top w:val="single" w:color="auto" w:sz="4" w:space="0"/>
              <w:left w:val="single" w:color="auto" w:sz="4" w:space="0"/>
              <w:bottom w:val="single" w:color="auto" w:sz="12" w:space="0"/>
              <w:right w:val="single" w:color="auto" w:sz="4" w:space="0"/>
            </w:tcBorders>
            <w:vAlign w:val="bottom"/>
          </w:tcPr>
          <w:p>
            <w:pPr>
              <w:jc w:val="right"/>
              <w:rPr>
                <w:rFonts w:ascii="宋体" w:hAnsi="宋体" w:cs="宋体"/>
                <w:color w:val="auto"/>
                <w:sz w:val="18"/>
                <w:szCs w:val="18"/>
              </w:rPr>
            </w:pPr>
            <w:r>
              <w:rPr>
                <w:rFonts w:hint="eastAsia" w:asciiTheme="minorEastAsia" w:hAnsiTheme="minorEastAsia" w:eastAsiaTheme="minorEastAsia"/>
                <w:color w:val="auto"/>
                <w:sz w:val="18"/>
                <w:szCs w:val="18"/>
              </w:rPr>
              <w:t>8,323,192.26</w:t>
            </w:r>
          </w:p>
        </w:tc>
        <w:tc>
          <w:tcPr>
            <w:tcW w:w="741" w:type="pct"/>
            <w:tcBorders>
              <w:top w:val="single" w:color="auto" w:sz="4" w:space="0"/>
              <w:left w:val="single" w:color="auto" w:sz="4" w:space="0"/>
              <w:bottom w:val="single" w:color="auto" w:sz="12" w:space="0"/>
              <w:right w:val="single" w:color="auto" w:sz="4" w:space="0"/>
            </w:tcBorders>
            <w:vAlign w:val="bottom"/>
          </w:tcPr>
          <w:p>
            <w:pPr>
              <w:jc w:val="right"/>
              <w:rPr>
                <w:rFonts w:ascii="宋体" w:hAnsi="宋体" w:cs="宋体"/>
                <w:color w:val="auto"/>
                <w:sz w:val="18"/>
                <w:szCs w:val="18"/>
              </w:rPr>
            </w:pPr>
          </w:p>
        </w:tc>
        <w:tc>
          <w:tcPr>
            <w:tcW w:w="740" w:type="pct"/>
            <w:tcBorders>
              <w:top w:val="single" w:color="auto" w:sz="4" w:space="0"/>
              <w:left w:val="single" w:color="auto" w:sz="4" w:space="0"/>
              <w:bottom w:val="single" w:color="auto" w:sz="12" w:space="0"/>
              <w:right w:val="single" w:color="auto" w:sz="4" w:space="0"/>
            </w:tcBorders>
            <w:vAlign w:val="bottom"/>
          </w:tcPr>
          <w:p>
            <w:pPr>
              <w:jc w:val="right"/>
              <w:rPr>
                <w:rFonts w:ascii="宋体" w:hAnsi="宋体" w:cs="宋体"/>
                <w:color w:val="auto"/>
                <w:sz w:val="18"/>
                <w:szCs w:val="18"/>
              </w:rPr>
            </w:pPr>
            <w:r>
              <w:rPr>
                <w:rFonts w:ascii="宋体" w:hAnsi="宋体" w:cs="宋体"/>
                <w:color w:val="auto"/>
                <w:kern w:val="0"/>
                <w:sz w:val="18"/>
                <w:szCs w:val="18"/>
              </w:rPr>
              <w:t xml:space="preserve">       165,902.55  </w:t>
            </w:r>
          </w:p>
        </w:tc>
        <w:tc>
          <w:tcPr>
            <w:tcW w:w="833" w:type="pct"/>
            <w:tcBorders>
              <w:top w:val="single" w:color="auto" w:sz="4" w:space="0"/>
              <w:left w:val="single" w:color="auto" w:sz="4" w:space="0"/>
              <w:bottom w:val="single" w:color="auto" w:sz="12" w:space="0"/>
              <w:right w:val="single" w:color="auto" w:sz="4" w:space="0"/>
            </w:tcBorders>
            <w:vAlign w:val="bottom"/>
          </w:tcPr>
          <w:p>
            <w:pPr>
              <w:jc w:val="right"/>
              <w:rPr>
                <w:rFonts w:ascii="宋体" w:hAnsi="宋体" w:cs="宋体"/>
                <w:color w:val="auto"/>
                <w:sz w:val="18"/>
                <w:szCs w:val="18"/>
              </w:rPr>
            </w:pPr>
            <w:r>
              <w:rPr>
                <w:rFonts w:ascii="宋体" w:hAnsi="宋体" w:cs="宋体"/>
                <w:color w:val="auto"/>
                <w:sz w:val="18"/>
                <w:szCs w:val="18"/>
              </w:rPr>
              <w:t>191,422.32</w:t>
            </w:r>
          </w:p>
        </w:tc>
        <w:tc>
          <w:tcPr>
            <w:tcW w:w="833" w:type="pct"/>
            <w:tcBorders>
              <w:top w:val="single" w:color="auto" w:sz="4" w:space="0"/>
              <w:left w:val="single" w:color="auto" w:sz="4" w:space="0"/>
              <w:bottom w:val="single" w:color="auto" w:sz="12" w:space="0"/>
            </w:tcBorders>
            <w:vAlign w:val="bottom"/>
          </w:tcPr>
          <w:p>
            <w:pPr>
              <w:jc w:val="right"/>
              <w:rPr>
                <w:rFonts w:ascii="宋体" w:hAnsi="宋体" w:cs="宋体"/>
                <w:color w:val="auto"/>
                <w:sz w:val="18"/>
                <w:szCs w:val="18"/>
              </w:rPr>
            </w:pPr>
            <w:r>
              <w:rPr>
                <w:rFonts w:ascii="宋体" w:hAnsi="宋体" w:cs="宋体"/>
                <w:color w:val="auto"/>
                <w:kern w:val="0"/>
                <w:sz w:val="18"/>
                <w:szCs w:val="18"/>
              </w:rPr>
              <w:t xml:space="preserve">           7,965,867.39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964" w:type="pct"/>
            <w:tcBorders>
              <w:top w:val="single" w:color="auto" w:sz="12" w:space="0"/>
              <w:bottom w:val="single" w:color="auto" w:sz="12" w:space="0"/>
              <w:right w:val="single" w:color="auto" w:sz="4" w:space="0"/>
            </w:tcBorders>
            <w:vAlign w:val="bottom"/>
          </w:tcPr>
          <w:p>
            <w:pPr>
              <w:jc w:val="center"/>
              <w:rPr>
                <w:b/>
                <w:color w:val="auto"/>
                <w:sz w:val="18"/>
                <w:szCs w:val="18"/>
                <w:shd w:val="clear" w:color="auto" w:fill="FFFFFF"/>
              </w:rPr>
            </w:pPr>
            <w:r>
              <w:rPr>
                <w:rFonts w:hint="eastAsia" w:ascii="宋体"/>
                <w:b/>
                <w:bCs/>
                <w:color w:val="auto"/>
                <w:sz w:val="18"/>
                <w:szCs w:val="18"/>
              </w:rPr>
              <w:t>合计</w:t>
            </w:r>
          </w:p>
        </w:tc>
        <w:tc>
          <w:tcPr>
            <w:tcW w:w="889"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ajorEastAsia" w:hAnsiTheme="majorEastAsia" w:eastAsiaTheme="majorEastAsia"/>
                <w:b/>
                <w:bCs/>
                <w:color w:val="auto"/>
                <w:sz w:val="18"/>
                <w:szCs w:val="18"/>
              </w:rPr>
            </w:pPr>
            <w:r>
              <w:rPr>
                <w:rFonts w:hint="eastAsia" w:asciiTheme="minorEastAsia" w:hAnsiTheme="minorEastAsia" w:eastAsiaTheme="minorEastAsia"/>
                <w:b/>
                <w:bCs/>
                <w:color w:val="auto"/>
                <w:sz w:val="18"/>
                <w:szCs w:val="18"/>
              </w:rPr>
              <w:t>8,323,192.26</w:t>
            </w:r>
          </w:p>
        </w:tc>
        <w:tc>
          <w:tcPr>
            <w:tcW w:w="741"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p>
        </w:tc>
        <w:tc>
          <w:tcPr>
            <w:tcW w:w="740" w:type="pct"/>
            <w:tcBorders>
              <w:top w:val="single" w:color="auto" w:sz="12" w:space="0"/>
              <w:left w:val="single" w:color="auto" w:sz="4" w:space="0"/>
              <w:bottom w:val="single" w:color="auto" w:sz="12" w:space="0"/>
              <w:right w:val="single" w:color="auto" w:sz="4" w:space="0"/>
            </w:tcBorders>
            <w:vAlign w:val="bottom"/>
          </w:tcPr>
          <w:p>
            <w:pPr>
              <w:jc w:val="right"/>
              <w:rPr>
                <w:rFonts w:ascii="宋体" w:hAnsi="宋体" w:cs="宋体"/>
                <w:b/>
                <w:bCs/>
                <w:color w:val="auto"/>
                <w:sz w:val="18"/>
                <w:szCs w:val="18"/>
              </w:rPr>
            </w:pPr>
            <w:r>
              <w:rPr>
                <w:rFonts w:ascii="宋体" w:hAnsi="宋体" w:cs="宋体"/>
                <w:b/>
                <w:bCs/>
                <w:color w:val="auto"/>
                <w:kern w:val="0"/>
                <w:sz w:val="18"/>
                <w:szCs w:val="18"/>
              </w:rPr>
              <w:t xml:space="preserve">       165,902.55  </w:t>
            </w:r>
          </w:p>
        </w:tc>
        <w:tc>
          <w:tcPr>
            <w:tcW w:w="833" w:type="pct"/>
            <w:tcBorders>
              <w:top w:val="single" w:color="auto" w:sz="12" w:space="0"/>
              <w:left w:val="single" w:color="auto" w:sz="4" w:space="0"/>
              <w:bottom w:val="single" w:color="auto" w:sz="12" w:space="0"/>
              <w:right w:val="single" w:color="auto" w:sz="4" w:space="0"/>
            </w:tcBorders>
            <w:vAlign w:val="bottom"/>
          </w:tcPr>
          <w:p>
            <w:pPr>
              <w:jc w:val="right"/>
              <w:rPr>
                <w:rFonts w:ascii="宋体" w:hAnsi="宋体" w:cs="宋体"/>
                <w:b/>
                <w:bCs/>
                <w:color w:val="auto"/>
                <w:sz w:val="18"/>
                <w:szCs w:val="18"/>
              </w:rPr>
            </w:pPr>
            <w:r>
              <w:rPr>
                <w:rFonts w:ascii="宋体" w:hAnsi="宋体" w:cs="宋体"/>
                <w:b/>
                <w:bCs/>
                <w:color w:val="auto"/>
                <w:sz w:val="18"/>
                <w:szCs w:val="18"/>
              </w:rPr>
              <w:t>191,422.32</w:t>
            </w:r>
          </w:p>
        </w:tc>
        <w:tc>
          <w:tcPr>
            <w:tcW w:w="833" w:type="pct"/>
            <w:tcBorders>
              <w:top w:val="single" w:color="auto" w:sz="12" w:space="0"/>
              <w:left w:val="single" w:color="auto" w:sz="4" w:space="0"/>
              <w:bottom w:val="single" w:color="auto" w:sz="12" w:space="0"/>
            </w:tcBorders>
            <w:vAlign w:val="bottom"/>
          </w:tcPr>
          <w:p>
            <w:pPr>
              <w:jc w:val="right"/>
              <w:rPr>
                <w:rFonts w:ascii="宋体" w:hAnsi="宋体" w:cs="宋体"/>
                <w:b/>
                <w:bCs/>
                <w:color w:val="auto"/>
                <w:sz w:val="18"/>
                <w:szCs w:val="18"/>
              </w:rPr>
            </w:pPr>
            <w:r>
              <w:rPr>
                <w:rFonts w:ascii="宋体" w:hAnsi="宋体" w:cs="宋体"/>
                <w:b/>
                <w:bCs/>
                <w:color w:val="auto"/>
                <w:kern w:val="0"/>
                <w:sz w:val="18"/>
                <w:szCs w:val="18"/>
              </w:rPr>
              <w:t xml:space="preserve">           7,965,867.39 </w:t>
            </w:r>
          </w:p>
        </w:tc>
      </w:tr>
    </w:tbl>
    <w:p>
      <w:pPr>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（3）报告期末公司应收账款中无持公司</w:t>
      </w:r>
      <w:r>
        <w:rPr>
          <w:rFonts w:ascii="宋体" w:hAnsi="宋体"/>
          <w:bCs/>
          <w:color w:val="auto"/>
          <w:szCs w:val="21"/>
        </w:rPr>
        <w:t>5%</w:t>
      </w:r>
      <w:r>
        <w:rPr>
          <w:rFonts w:hint="eastAsia" w:ascii="宋体" w:hAnsi="宋体"/>
          <w:bCs/>
          <w:color w:val="auto"/>
          <w:szCs w:val="21"/>
        </w:rPr>
        <w:t>（含</w:t>
      </w:r>
      <w:r>
        <w:rPr>
          <w:rFonts w:ascii="宋体" w:hAnsi="宋体"/>
          <w:bCs/>
          <w:color w:val="auto"/>
          <w:szCs w:val="21"/>
        </w:rPr>
        <w:t>5%</w:t>
      </w:r>
      <w:r>
        <w:rPr>
          <w:rFonts w:hint="eastAsia" w:ascii="宋体" w:hAnsi="宋体"/>
          <w:bCs/>
          <w:color w:val="auto"/>
          <w:szCs w:val="21"/>
        </w:rPr>
        <w:t>）以上表决权股份的股东单位欠款。</w:t>
      </w:r>
    </w:p>
    <w:p>
      <w:pPr>
        <w:tabs>
          <w:tab w:val="left" w:pos="2398"/>
        </w:tabs>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（4）报告期实际核销的应收账款：</w:t>
      </w:r>
    </w:p>
    <w:tbl>
      <w:tblPr>
        <w:tblStyle w:val="9"/>
        <w:tblW w:w="5000" w:type="pct"/>
        <w:tblInd w:w="0" w:type="dxa"/>
        <w:tblBorders>
          <w:top w:val="single" w:color="auto" w:sz="12" w:space="0"/>
          <w:left w:val="none" w:color="auto" w:sz="0" w:space="0"/>
          <w:bottom w:val="single" w:color="auto" w:sz="12" w:space="0"/>
          <w:right w:val="none" w:color="auto" w:sz="0" w:space="0"/>
          <w:insideH w:val="single" w:color="auto" w:sz="12" w:space="0"/>
          <w:insideV w:val="single" w:color="auto" w:sz="6" w:space="0"/>
        </w:tblBorders>
        <w:tblLayout w:type="autofit"/>
        <w:tblCellMar>
          <w:top w:w="0" w:type="dxa"/>
          <w:left w:w="108" w:type="dxa"/>
          <w:bottom w:w="0" w:type="dxa"/>
          <w:right w:w="108" w:type="dxa"/>
        </w:tblCellMar>
      </w:tblPr>
      <w:tblGrid>
        <w:gridCol w:w="4926"/>
        <w:gridCol w:w="4927"/>
      </w:tblGrid>
      <w:tr>
        <w:tblPrEx>
          <w:tblBorders>
            <w:top w:val="single" w:color="auto" w:sz="12" w:space="0"/>
            <w:left w:val="none" w:color="auto" w:sz="0" w:space="0"/>
            <w:bottom w:val="single" w:color="auto" w:sz="12" w:space="0"/>
            <w:right w:val="none" w:color="auto" w:sz="0" w:space="0"/>
            <w:insideH w:val="single" w:color="auto" w:sz="12" w:space="0"/>
            <w:insideV w:val="single" w:color="auto" w:sz="6" w:space="0"/>
          </w:tblBorders>
          <w:tblCellMar>
            <w:top w:w="0" w:type="dxa"/>
            <w:left w:w="108" w:type="dxa"/>
            <w:bottom w:w="0" w:type="dxa"/>
            <w:right w:w="108" w:type="dxa"/>
          </w:tblCellMar>
        </w:tblPrEx>
        <w:trPr>
          <w:trHeight w:val="454" w:hRule="exact"/>
        </w:trPr>
        <w:tc>
          <w:tcPr>
            <w:tcW w:w="2500" w:type="pct"/>
            <w:vAlign w:val="center"/>
          </w:tcPr>
          <w:p>
            <w:pPr>
              <w:jc w:val="center"/>
              <w:rPr>
                <w:b/>
                <w:color w:val="auto"/>
                <w:sz w:val="18"/>
                <w:szCs w:val="18"/>
              </w:rPr>
            </w:pPr>
            <w:r>
              <w:rPr>
                <w:b/>
                <w:color w:val="auto"/>
                <w:sz w:val="18"/>
                <w:szCs w:val="18"/>
              </w:rPr>
              <w:t>项目</w:t>
            </w:r>
          </w:p>
        </w:tc>
        <w:tc>
          <w:tcPr>
            <w:tcW w:w="2500" w:type="pct"/>
            <w:vAlign w:val="center"/>
          </w:tcPr>
          <w:p>
            <w:pPr>
              <w:snapToGrid w:val="0"/>
              <w:jc w:val="center"/>
              <w:rPr>
                <w:b/>
                <w:color w:val="auto"/>
                <w:sz w:val="18"/>
                <w:szCs w:val="18"/>
              </w:rPr>
            </w:pPr>
            <w:r>
              <w:rPr>
                <w:rFonts w:hint="eastAsia"/>
                <w:b/>
                <w:color w:val="auto"/>
                <w:sz w:val="18"/>
                <w:szCs w:val="18"/>
              </w:rPr>
              <w:t>核销金额</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6" w:space="0"/>
          </w:tblBorders>
          <w:tblCellMar>
            <w:top w:w="0" w:type="dxa"/>
            <w:left w:w="108" w:type="dxa"/>
            <w:bottom w:w="0" w:type="dxa"/>
            <w:right w:w="108" w:type="dxa"/>
          </w:tblCellMar>
        </w:tblPrEx>
        <w:trPr>
          <w:trHeight w:val="454" w:hRule="exact"/>
        </w:trPr>
        <w:tc>
          <w:tcPr>
            <w:tcW w:w="2500" w:type="pct"/>
            <w:vAlign w:val="bottom"/>
          </w:tcPr>
          <w:p>
            <w:pPr>
              <w:jc w:val="left"/>
              <w:rPr>
                <w:rFonts w:ascii="宋体" w:hAnsi="宋体" w:cs="宋体"/>
                <w:color w:val="auto"/>
                <w:sz w:val="18"/>
                <w:szCs w:val="18"/>
              </w:rPr>
            </w:pPr>
            <w:r>
              <w:rPr>
                <w:rFonts w:hint="eastAsia" w:ascii="宋体" w:hAnsi="宋体" w:cs="宋体"/>
                <w:color w:val="auto"/>
                <w:sz w:val="18"/>
                <w:szCs w:val="18"/>
              </w:rPr>
              <w:t>应收账款核销</w:t>
            </w:r>
          </w:p>
        </w:tc>
        <w:tc>
          <w:tcPr>
            <w:tcW w:w="2500" w:type="pct"/>
            <w:vAlign w:val="bottom"/>
          </w:tcPr>
          <w:p>
            <w:pPr>
              <w:jc w:val="right"/>
              <w:rPr>
                <w:rFonts w:ascii="宋体" w:hAnsi="宋体" w:cs="宋体"/>
                <w:color w:val="auto"/>
                <w:sz w:val="18"/>
                <w:szCs w:val="18"/>
              </w:rPr>
            </w:pPr>
            <w:r>
              <w:rPr>
                <w:rFonts w:ascii="宋体" w:hAnsi="宋体"/>
                <w:color w:val="auto"/>
                <w:sz w:val="18"/>
                <w:szCs w:val="18"/>
              </w:rPr>
              <w:t>463,691.03</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6" w:space="0"/>
          </w:tblBorders>
          <w:tblCellMar>
            <w:top w:w="0" w:type="dxa"/>
            <w:left w:w="108" w:type="dxa"/>
            <w:bottom w:w="0" w:type="dxa"/>
            <w:right w:w="108" w:type="dxa"/>
          </w:tblCellMar>
        </w:tblPrEx>
        <w:trPr>
          <w:trHeight w:val="454" w:hRule="exact"/>
        </w:trPr>
        <w:tc>
          <w:tcPr>
            <w:tcW w:w="2500" w:type="pct"/>
            <w:vAlign w:val="bottom"/>
          </w:tcPr>
          <w:p>
            <w:pPr>
              <w:jc w:val="center"/>
              <w:rPr>
                <w:rFonts w:ascii="宋体" w:hAnsi="宋体" w:cs="宋体"/>
                <w:b/>
                <w:bCs/>
                <w:color w:val="auto"/>
                <w:sz w:val="18"/>
                <w:szCs w:val="18"/>
              </w:rPr>
            </w:pPr>
            <w:r>
              <w:rPr>
                <w:rFonts w:hint="eastAsia"/>
                <w:b/>
                <w:bCs/>
                <w:color w:val="auto"/>
                <w:sz w:val="18"/>
                <w:szCs w:val="18"/>
              </w:rPr>
              <w:t>合计</w:t>
            </w:r>
          </w:p>
        </w:tc>
        <w:tc>
          <w:tcPr>
            <w:tcW w:w="2500" w:type="pct"/>
            <w:vAlign w:val="bottom"/>
          </w:tcPr>
          <w:p>
            <w:pPr>
              <w:jc w:val="right"/>
              <w:rPr>
                <w:rFonts w:ascii="宋体" w:hAnsi="宋体" w:cs="宋体"/>
                <w:b/>
                <w:bCs/>
                <w:color w:val="auto"/>
                <w:sz w:val="18"/>
                <w:szCs w:val="18"/>
              </w:rPr>
            </w:pPr>
            <w:r>
              <w:rPr>
                <w:rFonts w:ascii="宋体" w:hAnsi="宋体" w:cs="宋体"/>
                <w:b/>
                <w:bCs/>
                <w:color w:val="auto"/>
                <w:sz w:val="18"/>
                <w:szCs w:val="18"/>
              </w:rPr>
              <w:t>463,691.03</w:t>
            </w:r>
          </w:p>
        </w:tc>
      </w:tr>
    </w:tbl>
    <w:p>
      <w:pPr>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（5）按欠款方归集的期末余额重大的应收账款情况：</w:t>
      </w:r>
    </w:p>
    <w:tbl>
      <w:tblPr>
        <w:tblStyle w:val="9"/>
        <w:tblW w:w="0" w:type="auto"/>
        <w:tblCaption w:val="&quot;\\lisheng\共享\1、伟隆2022年度审计\1、2022年度审计\1、附注及报告\2022年\附注计算-伟隆 - 2022.xlsx&quot; &quot;2022附注格式!_ReportTable_0114&quot;"/>
        <w:tblDescription w:val="A1028:D1035"/>
        <w:tblInd w:w="107" w:type="dxa"/>
        <w:tblLayout w:type="fixed"/>
        <w:tblCellMar>
          <w:top w:w="0" w:type="dxa"/>
          <w:left w:w="107" w:type="dxa"/>
          <w:bottom w:w="0" w:type="dxa"/>
          <w:right w:w="107" w:type="dxa"/>
        </w:tblCellMar>
      </w:tblPr>
      <w:tblGrid>
        <w:gridCol w:w="3544"/>
        <w:gridCol w:w="1559"/>
        <w:gridCol w:w="1701"/>
        <w:gridCol w:w="2127"/>
      </w:tblGrid>
      <w:tr>
        <w:trPr>
          <w:cantSplit/>
          <w:trHeight w:val="454" w:hRule="atLeast"/>
        </w:trPr>
        <w:tc>
          <w:tcPr>
            <w:tcW w:w="3544" w:type="dxa"/>
            <w:vMerge w:val="restart"/>
            <w:tcBorders>
              <w:top w:val="single" w:color="000000" w:sz="12" w:space="0"/>
              <w:right w:val="single" w:color="auto" w:sz="4" w:space="0"/>
            </w:tcBorders>
            <w:vAlign w:val="center"/>
          </w:tcPr>
          <w:p>
            <w:pPr>
              <w:spacing w:line="276" w:lineRule="auto"/>
              <w:jc w:val="center"/>
              <w:rPr>
                <w:rFonts w:ascii="宋体" w:hAnsi="宋体"/>
                <w:b/>
                <w:bCs/>
                <w:color w:val="auto"/>
                <w:sz w:val="18"/>
                <w:szCs w:val="18"/>
              </w:rPr>
            </w:pPr>
            <w:r>
              <w:rPr>
                <w:rFonts w:hint="eastAsia" w:ascii="宋体" w:hAnsi="宋体"/>
                <w:b/>
                <w:bCs/>
                <w:color w:val="auto"/>
                <w:sz w:val="18"/>
                <w:szCs w:val="18"/>
              </w:rPr>
              <w:t>单位名称</w:t>
            </w:r>
          </w:p>
        </w:tc>
        <w:tc>
          <w:tcPr>
            <w:tcW w:w="5387" w:type="dxa"/>
            <w:gridSpan w:val="3"/>
            <w:tcBorders>
              <w:top w:val="single" w:color="000000" w:sz="12" w:space="0"/>
              <w:left w:val="single" w:color="auto" w:sz="4" w:space="0"/>
              <w:bottom w:val="single" w:color="auto" w:sz="4" w:space="0"/>
            </w:tcBorders>
            <w:vAlign w:val="center"/>
          </w:tcPr>
          <w:p>
            <w:pPr>
              <w:spacing w:line="276" w:lineRule="auto"/>
              <w:jc w:val="center"/>
              <w:rPr>
                <w:rFonts w:ascii="宋体" w:hAnsi="宋体"/>
                <w:b/>
                <w:bCs/>
                <w:color w:val="auto"/>
                <w:sz w:val="18"/>
                <w:szCs w:val="18"/>
              </w:rPr>
            </w:pPr>
            <w:r>
              <w:rPr>
                <w:rFonts w:hint="eastAsia" w:ascii="宋体" w:hAnsi="宋体"/>
                <w:b/>
                <w:bCs/>
                <w:color w:val="auto"/>
                <w:sz w:val="18"/>
                <w:szCs w:val="18"/>
              </w:rPr>
              <w:t>期末余额</w:t>
            </w:r>
          </w:p>
        </w:tc>
      </w:tr>
      <w:tr>
        <w:tblPrEx>
          <w:tblCellMar>
            <w:top w:w="0" w:type="dxa"/>
            <w:left w:w="107" w:type="dxa"/>
            <w:bottom w:w="0" w:type="dxa"/>
            <w:right w:w="107" w:type="dxa"/>
          </w:tblCellMar>
        </w:tblPrEx>
        <w:trPr>
          <w:cantSplit/>
          <w:trHeight w:val="454" w:hRule="atLeast"/>
        </w:trPr>
        <w:tc>
          <w:tcPr>
            <w:tcW w:w="3544" w:type="dxa"/>
            <w:vMerge w:val="continue"/>
            <w:tcBorders>
              <w:bottom w:val="single" w:color="auto" w:sz="12" w:space="0"/>
              <w:right w:val="single" w:color="auto" w:sz="4" w:space="0"/>
            </w:tcBorders>
            <w:vAlign w:val="center"/>
          </w:tcPr>
          <w:p>
            <w:pPr>
              <w:spacing w:line="276" w:lineRule="auto"/>
              <w:jc w:val="center"/>
              <w:rPr>
                <w:rFonts w:ascii="宋体" w:hAnsi="宋体"/>
                <w:b/>
                <w:bCs/>
                <w:color w:val="auto"/>
                <w:sz w:val="18"/>
                <w:szCs w:val="18"/>
              </w:rPr>
            </w:pPr>
          </w:p>
        </w:tc>
        <w:tc>
          <w:tcPr>
            <w:tcW w:w="1559" w:type="dxa"/>
            <w:tcBorders>
              <w:top w:val="single" w:color="auto" w:sz="4" w:space="0"/>
              <w:left w:val="single" w:color="auto" w:sz="4" w:space="0"/>
              <w:bottom w:val="single" w:color="auto" w:sz="12" w:space="0"/>
              <w:right w:val="single" w:color="auto" w:sz="4" w:space="0"/>
            </w:tcBorders>
            <w:vAlign w:val="center"/>
          </w:tcPr>
          <w:p>
            <w:pPr>
              <w:spacing w:line="276" w:lineRule="auto"/>
              <w:jc w:val="center"/>
              <w:rPr>
                <w:rFonts w:ascii="宋体" w:hAnsi="宋体"/>
                <w:b/>
                <w:bCs/>
                <w:color w:val="auto"/>
                <w:sz w:val="18"/>
                <w:szCs w:val="18"/>
              </w:rPr>
            </w:pPr>
            <w:r>
              <w:rPr>
                <w:rFonts w:hint="eastAsia" w:ascii="宋体" w:hAnsi="宋体"/>
                <w:b/>
                <w:bCs/>
                <w:color w:val="auto"/>
                <w:sz w:val="18"/>
                <w:szCs w:val="18"/>
              </w:rPr>
              <w:t>应收账款</w:t>
            </w:r>
          </w:p>
        </w:tc>
        <w:tc>
          <w:tcPr>
            <w:tcW w:w="1701" w:type="dxa"/>
            <w:tcBorders>
              <w:top w:val="single" w:color="auto" w:sz="4" w:space="0"/>
              <w:left w:val="single" w:color="auto" w:sz="4" w:space="0"/>
              <w:bottom w:val="single" w:color="auto" w:sz="12" w:space="0"/>
              <w:right w:val="single" w:color="auto" w:sz="4" w:space="0"/>
            </w:tcBorders>
            <w:vAlign w:val="center"/>
          </w:tcPr>
          <w:p>
            <w:pPr>
              <w:spacing w:line="276" w:lineRule="auto"/>
              <w:jc w:val="center"/>
              <w:rPr>
                <w:rFonts w:ascii="宋体" w:hAnsi="宋体"/>
                <w:b/>
                <w:bCs/>
                <w:color w:val="auto"/>
                <w:sz w:val="18"/>
                <w:szCs w:val="18"/>
              </w:rPr>
            </w:pPr>
            <w:r>
              <w:rPr>
                <w:rFonts w:hint="eastAsia" w:ascii="宋体" w:hAnsi="宋体"/>
                <w:b/>
                <w:bCs/>
                <w:color w:val="auto"/>
                <w:sz w:val="18"/>
                <w:szCs w:val="18"/>
              </w:rPr>
              <w:t>占应收账款合计数的比例（</w:t>
            </w:r>
            <w:r>
              <w:rPr>
                <w:rFonts w:ascii="宋体" w:hAnsi="宋体"/>
                <w:b/>
                <w:bCs/>
                <w:color w:val="auto"/>
                <w:sz w:val="18"/>
                <w:szCs w:val="18"/>
              </w:rPr>
              <w:t>%）</w:t>
            </w:r>
          </w:p>
        </w:tc>
        <w:tc>
          <w:tcPr>
            <w:tcW w:w="2127" w:type="dxa"/>
            <w:tcBorders>
              <w:top w:val="single" w:color="auto" w:sz="4" w:space="0"/>
              <w:bottom w:val="single" w:color="auto" w:sz="12" w:space="0"/>
              <w:right w:val="nil"/>
            </w:tcBorders>
            <w:vAlign w:val="center"/>
          </w:tcPr>
          <w:p>
            <w:pPr>
              <w:spacing w:line="276" w:lineRule="auto"/>
              <w:jc w:val="center"/>
              <w:rPr>
                <w:rFonts w:ascii="宋体" w:hAnsi="宋体"/>
                <w:b/>
                <w:bCs/>
                <w:color w:val="auto"/>
                <w:sz w:val="18"/>
                <w:szCs w:val="18"/>
              </w:rPr>
            </w:pPr>
            <w:r>
              <w:rPr>
                <w:rFonts w:hint="eastAsia" w:ascii="宋体" w:hAnsi="宋体"/>
                <w:b/>
                <w:bCs/>
                <w:color w:val="auto"/>
                <w:sz w:val="18"/>
                <w:szCs w:val="18"/>
              </w:rPr>
              <w:t>坏账准备</w:t>
            </w:r>
          </w:p>
        </w:tc>
      </w:tr>
      <w:tr>
        <w:trPr>
          <w:cantSplit/>
          <w:trHeight w:val="454" w:hRule="atLeast"/>
        </w:trPr>
        <w:tc>
          <w:tcPr>
            <w:tcW w:w="3544" w:type="dxa"/>
            <w:tcBorders>
              <w:top w:val="single" w:color="auto" w:sz="12" w:space="0"/>
              <w:bottom w:val="single" w:color="auto" w:sz="4" w:space="0"/>
              <w:right w:val="single" w:color="auto" w:sz="4" w:space="0"/>
            </w:tcBorders>
            <w:vAlign w:val="bottom"/>
          </w:tcPr>
          <w:p>
            <w:pPr>
              <w:rPr>
                <w:rFonts w:ascii="宋体" w:hAnsi="宋体" w:cs="宋体"/>
                <w:color w:val="auto"/>
                <w:sz w:val="18"/>
                <w:szCs w:val="18"/>
              </w:rPr>
            </w:pPr>
            <w:r>
              <w:rPr>
                <w:rFonts w:cs="宋体" w:asciiTheme="majorEastAsia" w:hAnsiTheme="majorEastAsia" w:eastAsiaTheme="majorEastAsia"/>
                <w:color w:val="auto"/>
                <w:sz w:val="18"/>
                <w:szCs w:val="18"/>
              </w:rPr>
              <w:t>客户一</w:t>
            </w:r>
          </w:p>
        </w:tc>
        <w:tc>
          <w:tcPr>
            <w:tcW w:w="1559" w:type="dxa"/>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7,315,742.11</w:t>
            </w:r>
          </w:p>
        </w:tc>
        <w:tc>
          <w:tcPr>
            <w:tcW w:w="1701" w:type="dxa"/>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8.86</w:t>
            </w:r>
          </w:p>
        </w:tc>
        <w:tc>
          <w:tcPr>
            <w:tcW w:w="2127" w:type="dxa"/>
            <w:tcBorders>
              <w:top w:val="single" w:color="auto" w:sz="12" w:space="0"/>
              <w:bottom w:val="single" w:color="auto" w:sz="4" w:space="0"/>
              <w:right w:val="nil"/>
            </w:tcBorders>
            <w:vAlign w:val="bottom"/>
          </w:tcPr>
          <w:p>
            <w:pPr>
              <w:jc w:val="right"/>
              <w:rPr>
                <w:rFonts w:ascii="宋体" w:hAnsi="宋体" w:cs="宋体"/>
                <w:color w:val="auto"/>
                <w:sz w:val="18"/>
                <w:szCs w:val="18"/>
              </w:rPr>
            </w:pPr>
            <w:r>
              <w:rPr>
                <w:rFonts w:ascii="宋体" w:hAnsi="宋体"/>
                <w:color w:val="auto"/>
                <w:sz w:val="18"/>
                <w:szCs w:val="18"/>
              </w:rPr>
              <w:t>365,787.11</w:t>
            </w:r>
          </w:p>
        </w:tc>
      </w:tr>
      <w:tr>
        <w:trPr>
          <w:cantSplit/>
          <w:trHeight w:val="454" w:hRule="atLeast"/>
        </w:trPr>
        <w:tc>
          <w:tcPr>
            <w:tcW w:w="3544" w:type="dxa"/>
            <w:tcBorders>
              <w:top w:val="single" w:color="auto" w:sz="4" w:space="0"/>
              <w:bottom w:val="single" w:color="auto" w:sz="4" w:space="0"/>
              <w:right w:val="single" w:color="auto" w:sz="4" w:space="0"/>
            </w:tcBorders>
            <w:vAlign w:val="bottom"/>
          </w:tcPr>
          <w:p>
            <w:pPr>
              <w:rPr>
                <w:rFonts w:ascii="宋体" w:hAnsi="宋体"/>
                <w:color w:val="auto"/>
                <w:sz w:val="18"/>
              </w:rPr>
            </w:pPr>
            <w:r>
              <w:rPr>
                <w:rFonts w:cs="宋体" w:asciiTheme="majorEastAsia" w:hAnsiTheme="majorEastAsia" w:eastAsiaTheme="majorEastAsia"/>
                <w:color w:val="auto"/>
                <w:sz w:val="18"/>
                <w:szCs w:val="18"/>
              </w:rPr>
              <w:t>客户二</w:t>
            </w:r>
          </w:p>
        </w:tc>
        <w:tc>
          <w:tcPr>
            <w:tcW w:w="1559"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4,948,728.01</w:t>
            </w:r>
          </w:p>
        </w:tc>
        <w:tc>
          <w:tcPr>
            <w:tcW w:w="1701"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6.00</w:t>
            </w:r>
          </w:p>
        </w:tc>
        <w:tc>
          <w:tcPr>
            <w:tcW w:w="2127" w:type="dxa"/>
            <w:tcBorders>
              <w:top w:val="single" w:color="auto" w:sz="4" w:space="0"/>
              <w:bottom w:val="single" w:color="auto" w:sz="4" w:space="0"/>
              <w:right w:val="nil"/>
            </w:tcBorders>
            <w:vAlign w:val="bottom"/>
          </w:tcPr>
          <w:p>
            <w:pPr>
              <w:jc w:val="right"/>
              <w:rPr>
                <w:rFonts w:ascii="宋体" w:hAnsi="宋体" w:cs="宋体"/>
                <w:color w:val="auto"/>
                <w:sz w:val="18"/>
                <w:szCs w:val="18"/>
              </w:rPr>
            </w:pPr>
            <w:r>
              <w:rPr>
                <w:rFonts w:ascii="宋体" w:hAnsi="宋体"/>
                <w:color w:val="auto"/>
                <w:sz w:val="18"/>
                <w:szCs w:val="18"/>
              </w:rPr>
              <w:t>247,436.40</w:t>
            </w:r>
          </w:p>
        </w:tc>
      </w:tr>
      <w:tr>
        <w:trPr>
          <w:cantSplit/>
          <w:trHeight w:val="454" w:hRule="atLeast"/>
        </w:trPr>
        <w:tc>
          <w:tcPr>
            <w:tcW w:w="3544" w:type="dxa"/>
            <w:tcBorders>
              <w:top w:val="single" w:color="auto" w:sz="4" w:space="0"/>
              <w:bottom w:val="single" w:color="auto" w:sz="4" w:space="0"/>
              <w:right w:val="single" w:color="auto" w:sz="4" w:space="0"/>
            </w:tcBorders>
            <w:vAlign w:val="bottom"/>
          </w:tcPr>
          <w:p>
            <w:pPr>
              <w:rPr>
                <w:rFonts w:ascii="宋体" w:hAnsi="宋体"/>
                <w:color w:val="auto"/>
                <w:sz w:val="18"/>
              </w:rPr>
            </w:pPr>
            <w:r>
              <w:rPr>
                <w:rFonts w:cs="宋体" w:asciiTheme="majorEastAsia" w:hAnsiTheme="majorEastAsia" w:eastAsiaTheme="majorEastAsia"/>
                <w:color w:val="auto"/>
                <w:sz w:val="18"/>
                <w:szCs w:val="18"/>
              </w:rPr>
              <w:t>客户三</w:t>
            </w:r>
          </w:p>
        </w:tc>
        <w:tc>
          <w:tcPr>
            <w:tcW w:w="1559"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3,690,135.09</w:t>
            </w:r>
          </w:p>
        </w:tc>
        <w:tc>
          <w:tcPr>
            <w:tcW w:w="1701"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4.47</w:t>
            </w:r>
          </w:p>
        </w:tc>
        <w:tc>
          <w:tcPr>
            <w:tcW w:w="2127" w:type="dxa"/>
            <w:tcBorders>
              <w:top w:val="single" w:color="auto" w:sz="4" w:space="0"/>
              <w:bottom w:val="single" w:color="auto" w:sz="4" w:space="0"/>
              <w:right w:val="nil"/>
            </w:tcBorders>
            <w:vAlign w:val="bottom"/>
          </w:tcPr>
          <w:p>
            <w:pPr>
              <w:jc w:val="right"/>
              <w:rPr>
                <w:rFonts w:ascii="宋体" w:hAnsi="宋体" w:cs="宋体"/>
                <w:color w:val="auto"/>
                <w:sz w:val="18"/>
                <w:szCs w:val="18"/>
              </w:rPr>
            </w:pPr>
            <w:r>
              <w:rPr>
                <w:rFonts w:ascii="宋体" w:hAnsi="宋体"/>
                <w:color w:val="auto"/>
                <w:sz w:val="18"/>
                <w:szCs w:val="18"/>
              </w:rPr>
              <w:t>184,506.75</w:t>
            </w:r>
          </w:p>
        </w:tc>
      </w:tr>
      <w:tr>
        <w:trPr>
          <w:cantSplit/>
          <w:trHeight w:val="454" w:hRule="atLeast"/>
        </w:trPr>
        <w:tc>
          <w:tcPr>
            <w:tcW w:w="3544" w:type="dxa"/>
            <w:tcBorders>
              <w:top w:val="single" w:color="auto" w:sz="4" w:space="0"/>
              <w:bottom w:val="single" w:color="auto" w:sz="4" w:space="0"/>
              <w:right w:val="single" w:color="auto" w:sz="4" w:space="0"/>
            </w:tcBorders>
            <w:vAlign w:val="bottom"/>
          </w:tcPr>
          <w:p>
            <w:pPr>
              <w:rPr>
                <w:rFonts w:ascii="宋体" w:hAnsi="宋体"/>
                <w:color w:val="auto"/>
                <w:sz w:val="18"/>
              </w:rPr>
            </w:pPr>
            <w:r>
              <w:rPr>
                <w:rFonts w:cs="宋体" w:asciiTheme="majorEastAsia" w:hAnsiTheme="majorEastAsia" w:eastAsiaTheme="majorEastAsia"/>
                <w:color w:val="auto"/>
                <w:sz w:val="18"/>
                <w:szCs w:val="18"/>
              </w:rPr>
              <w:t>客户四</w:t>
            </w:r>
          </w:p>
        </w:tc>
        <w:tc>
          <w:tcPr>
            <w:tcW w:w="1559"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3,580,632.36</w:t>
            </w:r>
          </w:p>
        </w:tc>
        <w:tc>
          <w:tcPr>
            <w:tcW w:w="1701" w:type="dxa"/>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4.34</w:t>
            </w:r>
          </w:p>
        </w:tc>
        <w:tc>
          <w:tcPr>
            <w:tcW w:w="2127" w:type="dxa"/>
            <w:tcBorders>
              <w:top w:val="single" w:color="auto" w:sz="4" w:space="0"/>
              <w:bottom w:val="single" w:color="auto" w:sz="4" w:space="0"/>
              <w:right w:val="nil"/>
            </w:tcBorders>
            <w:vAlign w:val="bottom"/>
          </w:tcPr>
          <w:p>
            <w:pPr>
              <w:jc w:val="right"/>
              <w:rPr>
                <w:rFonts w:ascii="宋体" w:hAnsi="宋体" w:cs="宋体"/>
                <w:color w:val="auto"/>
                <w:sz w:val="18"/>
                <w:szCs w:val="18"/>
              </w:rPr>
            </w:pPr>
            <w:r>
              <w:rPr>
                <w:rFonts w:ascii="宋体" w:hAnsi="宋体"/>
                <w:color w:val="auto"/>
                <w:sz w:val="18"/>
                <w:szCs w:val="18"/>
              </w:rPr>
              <w:t>179,031.62</w:t>
            </w:r>
          </w:p>
        </w:tc>
      </w:tr>
      <w:tr>
        <w:trPr>
          <w:cantSplit/>
          <w:trHeight w:val="454" w:hRule="atLeast"/>
        </w:trPr>
        <w:tc>
          <w:tcPr>
            <w:tcW w:w="3544" w:type="dxa"/>
            <w:tcBorders>
              <w:top w:val="single" w:color="auto" w:sz="4" w:space="0"/>
              <w:bottom w:val="single" w:color="auto" w:sz="12" w:space="0"/>
              <w:right w:val="single" w:color="auto" w:sz="4" w:space="0"/>
            </w:tcBorders>
            <w:vAlign w:val="bottom"/>
          </w:tcPr>
          <w:p>
            <w:pPr>
              <w:rPr>
                <w:rFonts w:ascii="宋体" w:hAnsi="宋体"/>
                <w:color w:val="auto"/>
                <w:sz w:val="18"/>
              </w:rPr>
            </w:pPr>
            <w:r>
              <w:rPr>
                <w:rFonts w:cs="宋体" w:asciiTheme="majorEastAsia" w:hAnsiTheme="majorEastAsia" w:eastAsiaTheme="majorEastAsia"/>
                <w:color w:val="auto"/>
                <w:sz w:val="18"/>
                <w:szCs w:val="18"/>
              </w:rPr>
              <w:t>客户五</w:t>
            </w:r>
          </w:p>
        </w:tc>
        <w:tc>
          <w:tcPr>
            <w:tcW w:w="1559" w:type="dxa"/>
            <w:tcBorders>
              <w:top w:val="single" w:color="auto" w:sz="4" w:space="0"/>
              <w:left w:val="single" w:color="auto" w:sz="4" w:space="0"/>
              <w:bottom w:val="single" w:color="auto" w:sz="12"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3,565,634.22</w:t>
            </w:r>
          </w:p>
        </w:tc>
        <w:tc>
          <w:tcPr>
            <w:tcW w:w="1701" w:type="dxa"/>
            <w:tcBorders>
              <w:top w:val="single" w:color="auto" w:sz="4" w:space="0"/>
              <w:left w:val="single" w:color="auto" w:sz="4" w:space="0"/>
              <w:bottom w:val="single" w:color="auto" w:sz="12"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4.32</w:t>
            </w:r>
          </w:p>
        </w:tc>
        <w:tc>
          <w:tcPr>
            <w:tcW w:w="2127" w:type="dxa"/>
            <w:tcBorders>
              <w:top w:val="single" w:color="auto" w:sz="4" w:space="0"/>
              <w:bottom w:val="single" w:color="auto" w:sz="12" w:space="0"/>
              <w:right w:val="nil"/>
            </w:tcBorders>
            <w:vAlign w:val="bottom"/>
          </w:tcPr>
          <w:p>
            <w:pPr>
              <w:jc w:val="right"/>
              <w:rPr>
                <w:rFonts w:ascii="宋体" w:hAnsi="宋体" w:cs="宋体"/>
                <w:color w:val="auto"/>
                <w:sz w:val="18"/>
                <w:szCs w:val="18"/>
              </w:rPr>
            </w:pPr>
            <w:r>
              <w:rPr>
                <w:rFonts w:ascii="宋体" w:hAnsi="宋体"/>
                <w:color w:val="auto"/>
                <w:sz w:val="18"/>
                <w:szCs w:val="18"/>
              </w:rPr>
              <w:t>178,281.71</w:t>
            </w:r>
          </w:p>
        </w:tc>
      </w:tr>
      <w:tr>
        <w:trPr>
          <w:cantSplit/>
          <w:trHeight w:val="454" w:hRule="atLeast"/>
        </w:trPr>
        <w:tc>
          <w:tcPr>
            <w:tcW w:w="3544" w:type="dxa"/>
            <w:tcBorders>
              <w:top w:val="single" w:color="auto" w:sz="12" w:space="0"/>
              <w:bottom w:val="single" w:color="auto" w:sz="12" w:space="0"/>
              <w:right w:val="single" w:color="auto" w:sz="4" w:space="0"/>
            </w:tcBorders>
            <w:vAlign w:val="bottom"/>
          </w:tcPr>
          <w:p>
            <w:pPr>
              <w:jc w:val="center"/>
              <w:rPr>
                <w:rFonts w:ascii="宋体" w:hAnsi="宋体" w:cs="宋体"/>
                <w:b/>
                <w:bCs/>
                <w:color w:val="auto"/>
                <w:sz w:val="18"/>
                <w:szCs w:val="18"/>
              </w:rPr>
            </w:pPr>
            <w:r>
              <w:rPr>
                <w:rFonts w:hint="eastAsia" w:ascii="宋体" w:hAnsi="宋体"/>
                <w:b/>
                <w:bCs/>
                <w:color w:val="auto"/>
                <w:sz w:val="18"/>
                <w:szCs w:val="18"/>
              </w:rPr>
              <w:t>合计</w:t>
            </w:r>
          </w:p>
        </w:tc>
        <w:tc>
          <w:tcPr>
            <w:tcW w:w="1559" w:type="dxa"/>
            <w:tcBorders>
              <w:top w:val="single" w:color="auto" w:sz="12" w:space="0"/>
              <w:left w:val="single" w:color="auto" w:sz="4" w:space="0"/>
              <w:bottom w:val="single" w:color="auto" w:sz="12" w:space="0"/>
              <w:right w:val="single" w:color="auto" w:sz="4" w:space="0"/>
            </w:tcBorders>
            <w:vAlign w:val="bottom"/>
          </w:tcPr>
          <w:p>
            <w:pPr>
              <w:jc w:val="right"/>
              <w:rPr>
                <w:rFonts w:ascii="宋体" w:hAnsi="宋体" w:cs="宋体"/>
                <w:b/>
                <w:bCs/>
                <w:color w:val="auto"/>
                <w:sz w:val="18"/>
                <w:szCs w:val="18"/>
              </w:rPr>
            </w:pPr>
            <w:r>
              <w:rPr>
                <w:rFonts w:ascii="宋体" w:hAnsi="宋体"/>
                <w:b/>
                <w:bCs/>
                <w:color w:val="auto"/>
                <w:sz w:val="18"/>
                <w:szCs w:val="18"/>
              </w:rPr>
              <w:t>23,100,871.79</w:t>
            </w:r>
          </w:p>
        </w:tc>
        <w:tc>
          <w:tcPr>
            <w:tcW w:w="1701" w:type="dxa"/>
            <w:tcBorders>
              <w:top w:val="single" w:color="auto" w:sz="12" w:space="0"/>
              <w:left w:val="single" w:color="auto" w:sz="4" w:space="0"/>
              <w:bottom w:val="single" w:color="auto" w:sz="12" w:space="0"/>
              <w:right w:val="single" w:color="auto" w:sz="4" w:space="0"/>
            </w:tcBorders>
            <w:vAlign w:val="bottom"/>
          </w:tcPr>
          <w:p>
            <w:pPr>
              <w:jc w:val="right"/>
              <w:rPr>
                <w:rFonts w:ascii="宋体" w:hAnsi="宋体" w:cs="宋体"/>
                <w:b/>
                <w:bCs/>
                <w:color w:val="auto"/>
                <w:sz w:val="18"/>
                <w:szCs w:val="18"/>
              </w:rPr>
            </w:pPr>
            <w:r>
              <w:rPr>
                <w:rFonts w:ascii="宋体" w:hAnsi="宋体"/>
                <w:b/>
                <w:bCs/>
                <w:color w:val="auto"/>
                <w:sz w:val="18"/>
                <w:szCs w:val="18"/>
              </w:rPr>
              <w:t>27.99</w:t>
            </w:r>
          </w:p>
        </w:tc>
        <w:tc>
          <w:tcPr>
            <w:tcW w:w="2127" w:type="dxa"/>
            <w:tcBorders>
              <w:top w:val="single" w:color="auto" w:sz="12" w:space="0"/>
              <w:bottom w:val="single" w:color="auto" w:sz="12" w:space="0"/>
              <w:right w:val="nil"/>
            </w:tcBorders>
            <w:vAlign w:val="bottom"/>
          </w:tcPr>
          <w:p>
            <w:pPr>
              <w:jc w:val="right"/>
              <w:rPr>
                <w:rFonts w:ascii="宋体" w:hAnsi="宋体" w:cs="宋体"/>
                <w:b/>
                <w:bCs/>
                <w:color w:val="auto"/>
                <w:sz w:val="18"/>
                <w:szCs w:val="18"/>
              </w:rPr>
            </w:pPr>
            <w:r>
              <w:rPr>
                <w:rFonts w:ascii="宋体" w:hAnsi="宋体"/>
                <w:b/>
                <w:bCs/>
                <w:color w:val="auto"/>
                <w:sz w:val="18"/>
                <w:szCs w:val="18"/>
              </w:rPr>
              <w:t>1,155,043.59</w:t>
            </w:r>
          </w:p>
        </w:tc>
      </w:tr>
    </w:tbl>
    <w:p>
      <w:pPr>
        <w:pStyle w:val="5"/>
        <w:spacing w:before="150" w:beforeLines="50" w:after="150" w:afterLines="50" w:line="360" w:lineRule="auto"/>
        <w:ind w:firstLine="420" w:firstLineChars="200"/>
        <w:outlineLvl w:val="1"/>
        <w:rPr>
          <w:rFonts w:asciiTheme="minorEastAsia" w:hAnsiTheme="minorEastAsia" w:eastAsiaTheme="minorEastAsia"/>
          <w:b/>
          <w:color w:val="auto"/>
          <w:szCs w:val="21"/>
        </w:rPr>
      </w:pPr>
      <w:r>
        <w:rPr>
          <w:rFonts w:asciiTheme="minorEastAsia" w:hAnsiTheme="minorEastAsia" w:eastAsiaTheme="minorEastAsia"/>
          <w:b/>
          <w:color w:val="auto"/>
          <w:szCs w:val="21"/>
        </w:rPr>
        <w:t>2</w:t>
      </w:r>
      <w:r>
        <w:rPr>
          <w:rFonts w:hint="eastAsia" w:asciiTheme="minorEastAsia" w:hAnsiTheme="minorEastAsia" w:eastAsiaTheme="minorEastAsia"/>
          <w:b/>
          <w:color w:val="auto"/>
          <w:szCs w:val="21"/>
        </w:rPr>
        <w:t>、其他应收款</w:t>
      </w:r>
    </w:p>
    <w:p>
      <w:pPr>
        <w:spacing w:before="150" w:beforeLines="50" w:after="150" w:afterLines="50" w:line="360" w:lineRule="auto"/>
        <w:ind w:firstLine="420" w:firstLineChars="200"/>
        <w:rPr>
          <w:rFonts w:ascii="宋体" w:hAnsi="宋体"/>
          <w:b/>
          <w:bCs/>
          <w:color w:val="auto"/>
          <w:szCs w:val="21"/>
        </w:rPr>
      </w:pPr>
      <w:r>
        <w:rPr>
          <w:rFonts w:hint="eastAsia" w:ascii="宋体" w:hAnsi="宋体"/>
          <w:b/>
          <w:color w:val="auto"/>
          <w:szCs w:val="21"/>
        </w:rPr>
        <w:t>总体情况列示：</w:t>
      </w:r>
    </w:p>
    <w:tbl>
      <w:tblPr>
        <w:tblStyle w:val="9"/>
        <w:tblW w:w="0" w:type="auto"/>
        <w:tblCaption w:val="&quot;\\lisheng\共享\1、伟隆2022年度审计\1、2022年度审计\1、附注及报告\2022年\附注计算-伟隆 - 2022.xlsx&quot; &quot;2022附注格式!_ReportTable_0115&quot;"/>
        <w:tblDescription w:val="A1038:C1042"/>
        <w:tblInd w:w="107" w:type="dxa"/>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Layout w:type="fixed"/>
        <w:tblCellMar>
          <w:top w:w="0" w:type="dxa"/>
          <w:left w:w="107" w:type="dxa"/>
          <w:bottom w:w="0" w:type="dxa"/>
          <w:right w:w="107" w:type="dxa"/>
        </w:tblCellMar>
      </w:tblPr>
      <w:tblGrid>
        <w:gridCol w:w="2908"/>
        <w:gridCol w:w="3015"/>
        <w:gridCol w:w="3017"/>
      </w:tblGrid>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PrEx>
        <w:trPr>
          <w:cantSplit/>
          <w:trHeight w:val="454" w:hRule="atLeast"/>
        </w:trPr>
        <w:tc>
          <w:tcPr>
            <w:tcW w:w="2908" w:type="dxa"/>
            <w:tcBorders>
              <w:bottom w:val="single" w:color="000000" w:sz="12" w:space="0"/>
            </w:tcBorders>
            <w:vAlign w:val="center"/>
          </w:tcPr>
          <w:p>
            <w:pPr>
              <w:ind w:firstLine="361"/>
              <w:jc w:val="center"/>
              <w:rPr>
                <w:rFonts w:ascii="宋体" w:hAnsi="宋体"/>
                <w:b/>
                <w:color w:val="auto"/>
                <w:sz w:val="18"/>
                <w:szCs w:val="18"/>
              </w:rPr>
            </w:pPr>
            <w:r>
              <w:rPr>
                <w:rFonts w:hint="eastAsia" w:ascii="宋体" w:hAnsi="宋体"/>
                <w:b/>
                <w:color w:val="auto"/>
                <w:sz w:val="18"/>
                <w:szCs w:val="18"/>
              </w:rPr>
              <w:t>项</w:t>
            </w:r>
            <w:r>
              <w:rPr>
                <w:rFonts w:ascii="宋体" w:hAnsi="宋体"/>
                <w:b/>
                <w:color w:val="auto"/>
                <w:sz w:val="18"/>
                <w:szCs w:val="18"/>
              </w:rPr>
              <w:t xml:space="preserve">  目</w:t>
            </w:r>
          </w:p>
        </w:tc>
        <w:tc>
          <w:tcPr>
            <w:tcW w:w="3015" w:type="dxa"/>
            <w:tcBorders>
              <w:bottom w:val="single" w:color="000000" w:sz="12" w:space="0"/>
            </w:tcBorders>
            <w:vAlign w:val="center"/>
          </w:tcPr>
          <w:p>
            <w:pPr>
              <w:ind w:firstLine="361"/>
              <w:jc w:val="center"/>
              <w:rPr>
                <w:rFonts w:ascii="宋体"/>
                <w:b/>
                <w:color w:val="auto"/>
                <w:sz w:val="18"/>
                <w:szCs w:val="18"/>
              </w:rPr>
            </w:pPr>
            <w:r>
              <w:rPr>
                <w:rFonts w:hint="eastAsia" w:ascii="宋体" w:hAnsi="宋体"/>
                <w:b/>
                <w:color w:val="auto"/>
                <w:sz w:val="18"/>
                <w:szCs w:val="18"/>
              </w:rPr>
              <w:t>期末余额</w:t>
            </w:r>
          </w:p>
        </w:tc>
        <w:tc>
          <w:tcPr>
            <w:tcW w:w="3017" w:type="dxa"/>
            <w:tcBorders>
              <w:bottom w:val="single" w:color="000000" w:sz="12" w:space="0"/>
            </w:tcBorders>
            <w:vAlign w:val="center"/>
          </w:tcPr>
          <w:p>
            <w:pPr>
              <w:ind w:firstLine="361"/>
              <w:jc w:val="center"/>
              <w:rPr>
                <w:rFonts w:ascii="宋体"/>
                <w:b/>
                <w:color w:val="auto"/>
                <w:sz w:val="18"/>
                <w:szCs w:val="18"/>
              </w:rPr>
            </w:pPr>
            <w:r>
              <w:rPr>
                <w:rFonts w:hint="eastAsia" w:ascii="宋体" w:hAnsi="宋体"/>
                <w:b/>
                <w:color w:val="auto"/>
                <w:sz w:val="18"/>
                <w:szCs w:val="18"/>
              </w:rPr>
              <w:t>期初余额</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107" w:type="dxa"/>
            <w:bottom w:w="0" w:type="dxa"/>
            <w:right w:w="107" w:type="dxa"/>
          </w:tblCellMar>
        </w:tblPrEx>
        <w:trPr>
          <w:cantSplit/>
          <w:trHeight w:val="454" w:hRule="atLeast"/>
        </w:trPr>
        <w:tc>
          <w:tcPr>
            <w:tcW w:w="2908" w:type="dxa"/>
            <w:tcBorders>
              <w:bottom w:val="single" w:color="auto" w:sz="4" w:space="0"/>
            </w:tcBorders>
            <w:vAlign w:val="bottom"/>
          </w:tcPr>
          <w:p>
            <w:pPr>
              <w:rPr>
                <w:rFonts w:ascii="宋体" w:hAnsi="宋体"/>
                <w:color w:val="auto"/>
                <w:sz w:val="18"/>
                <w:szCs w:val="18"/>
              </w:rPr>
            </w:pPr>
            <w:r>
              <w:rPr>
                <w:rFonts w:hint="eastAsia" w:ascii="宋体" w:hAnsi="宋体"/>
                <w:color w:val="auto"/>
                <w:sz w:val="18"/>
                <w:szCs w:val="18"/>
              </w:rPr>
              <w:t>应收利息</w:t>
            </w:r>
          </w:p>
        </w:tc>
        <w:tc>
          <w:tcPr>
            <w:tcW w:w="3015" w:type="dxa"/>
            <w:tcBorders>
              <w:bottom w:val="single" w:color="auto" w:sz="4" w:space="0"/>
            </w:tcBorders>
            <w:vAlign w:val="bottom"/>
          </w:tcPr>
          <w:p>
            <w:pPr>
              <w:jc w:val="right"/>
              <w:rPr>
                <w:rFonts w:cs="宋体" w:asciiTheme="minorEastAsia" w:hAnsiTheme="minorEastAsia" w:eastAsiaTheme="minorEastAsia"/>
                <w:color w:val="auto"/>
                <w:sz w:val="18"/>
                <w:szCs w:val="18"/>
              </w:rPr>
            </w:pPr>
          </w:p>
        </w:tc>
        <w:tc>
          <w:tcPr>
            <w:tcW w:w="3017" w:type="dxa"/>
            <w:tcBorders>
              <w:bottom w:val="single" w:color="auto" w:sz="4" w:space="0"/>
            </w:tcBorders>
            <w:vAlign w:val="bottom"/>
          </w:tcPr>
          <w:p>
            <w:pPr>
              <w:jc w:val="right"/>
              <w:rPr>
                <w:rFonts w:cs="宋体" w:asciiTheme="minorEastAsia" w:hAnsiTheme="minorEastAsia" w:eastAsiaTheme="minorEastAsia"/>
                <w:color w:val="auto"/>
                <w:sz w:val="18"/>
                <w:szCs w:val="18"/>
              </w:rPr>
            </w:pP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PrEx>
        <w:trPr>
          <w:cantSplit/>
          <w:trHeight w:val="454" w:hRule="atLeast"/>
        </w:trPr>
        <w:tc>
          <w:tcPr>
            <w:tcW w:w="2908" w:type="dxa"/>
            <w:tcBorders>
              <w:top w:val="single" w:color="auto" w:sz="4" w:space="0"/>
              <w:bottom w:val="single" w:color="auto" w:sz="4" w:space="0"/>
            </w:tcBorders>
            <w:vAlign w:val="bottom"/>
          </w:tcPr>
          <w:p>
            <w:pPr>
              <w:rPr>
                <w:rFonts w:ascii="宋体" w:hAnsi="宋体"/>
                <w:color w:val="auto"/>
                <w:sz w:val="18"/>
                <w:szCs w:val="18"/>
              </w:rPr>
            </w:pPr>
            <w:r>
              <w:rPr>
                <w:rFonts w:hint="eastAsia" w:ascii="宋体" w:hAnsi="宋体"/>
                <w:color w:val="auto"/>
                <w:sz w:val="18"/>
                <w:szCs w:val="18"/>
              </w:rPr>
              <w:t>应收股利</w:t>
            </w:r>
          </w:p>
        </w:tc>
        <w:tc>
          <w:tcPr>
            <w:tcW w:w="3015"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p>
        </w:tc>
        <w:tc>
          <w:tcPr>
            <w:tcW w:w="3017" w:type="dxa"/>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PrEx>
        <w:trPr>
          <w:cantSplit/>
          <w:trHeight w:val="454" w:hRule="atLeast"/>
        </w:trPr>
        <w:tc>
          <w:tcPr>
            <w:tcW w:w="2908" w:type="dxa"/>
            <w:tcBorders>
              <w:top w:val="single" w:color="auto" w:sz="4" w:space="0"/>
            </w:tcBorders>
            <w:vAlign w:val="bottom"/>
          </w:tcPr>
          <w:p>
            <w:pPr>
              <w:rPr>
                <w:rFonts w:ascii="宋体" w:hAnsi="宋体"/>
                <w:color w:val="auto"/>
                <w:sz w:val="18"/>
                <w:szCs w:val="18"/>
              </w:rPr>
            </w:pPr>
            <w:r>
              <w:rPr>
                <w:rFonts w:hint="eastAsia" w:ascii="宋体" w:hAnsi="宋体"/>
                <w:color w:val="auto"/>
                <w:sz w:val="18"/>
                <w:szCs w:val="18"/>
              </w:rPr>
              <w:t>其他应收款</w:t>
            </w:r>
          </w:p>
        </w:tc>
        <w:tc>
          <w:tcPr>
            <w:tcW w:w="3015" w:type="dxa"/>
            <w:tcBorders>
              <w:top w:val="single" w:color="auto" w:sz="4" w:space="0"/>
            </w:tcBorders>
            <w:vAlign w:val="bottom"/>
          </w:tcPr>
          <w:p>
            <w:pPr>
              <w:jc w:val="right"/>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22,966,998.07</w:t>
            </w:r>
          </w:p>
        </w:tc>
        <w:tc>
          <w:tcPr>
            <w:tcW w:w="3017" w:type="dxa"/>
            <w:tcBorders>
              <w:top w:val="single" w:color="auto" w:sz="4" w:space="0"/>
            </w:tcBorders>
            <w:vAlign w:val="bottom"/>
          </w:tcPr>
          <w:p>
            <w:pPr>
              <w:jc w:val="right"/>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19,760,830.43</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PrEx>
        <w:trPr>
          <w:cantSplit/>
          <w:trHeight w:val="454" w:hRule="atLeast"/>
        </w:trPr>
        <w:tc>
          <w:tcPr>
            <w:tcW w:w="2908" w:type="dxa"/>
            <w:vAlign w:val="bottom"/>
          </w:tcPr>
          <w:p>
            <w:pPr>
              <w:ind w:firstLine="361"/>
              <w:jc w:val="center"/>
              <w:rPr>
                <w:rFonts w:ascii="宋体" w:hAnsi="宋体"/>
                <w:b/>
                <w:color w:val="auto"/>
                <w:sz w:val="18"/>
                <w:szCs w:val="18"/>
              </w:rPr>
            </w:pPr>
            <w:r>
              <w:rPr>
                <w:rFonts w:hint="eastAsia" w:ascii="宋体" w:hAnsi="宋体"/>
                <w:b/>
                <w:color w:val="auto"/>
                <w:sz w:val="18"/>
                <w:szCs w:val="18"/>
              </w:rPr>
              <w:t>合计</w:t>
            </w:r>
          </w:p>
        </w:tc>
        <w:tc>
          <w:tcPr>
            <w:tcW w:w="3015" w:type="dxa"/>
            <w:vAlign w:val="bottom"/>
          </w:tcPr>
          <w:p>
            <w:pPr>
              <w:jc w:val="right"/>
              <w:rPr>
                <w:rFonts w:cs="宋体" w:asciiTheme="majorEastAsia" w:hAnsiTheme="majorEastAsia" w:eastAsiaTheme="majorEastAsia"/>
                <w:b/>
                <w:color w:val="auto"/>
                <w:sz w:val="18"/>
                <w:szCs w:val="18"/>
              </w:rPr>
            </w:pPr>
            <w:r>
              <w:rPr>
                <w:rFonts w:cs="宋体" w:asciiTheme="majorEastAsia" w:hAnsiTheme="majorEastAsia" w:eastAsiaTheme="majorEastAsia"/>
                <w:b/>
                <w:color w:val="auto"/>
                <w:sz w:val="18"/>
                <w:szCs w:val="18"/>
              </w:rPr>
              <w:t>22,966,998.07</w:t>
            </w:r>
          </w:p>
        </w:tc>
        <w:tc>
          <w:tcPr>
            <w:tcW w:w="3017" w:type="dxa"/>
            <w:vAlign w:val="bottom"/>
          </w:tcPr>
          <w:p>
            <w:pPr>
              <w:jc w:val="right"/>
              <w:rPr>
                <w:rFonts w:cs="宋体" w:asciiTheme="majorEastAsia" w:hAnsiTheme="majorEastAsia" w:eastAsiaTheme="majorEastAsia"/>
                <w:b/>
                <w:bCs/>
                <w:color w:val="auto"/>
                <w:sz w:val="18"/>
                <w:szCs w:val="18"/>
              </w:rPr>
            </w:pPr>
            <w:r>
              <w:rPr>
                <w:rFonts w:cs="宋体" w:asciiTheme="majorEastAsia" w:hAnsiTheme="majorEastAsia" w:eastAsiaTheme="majorEastAsia"/>
                <w:b/>
                <w:color w:val="auto"/>
                <w:sz w:val="18"/>
                <w:szCs w:val="18"/>
              </w:rPr>
              <w:t>19,760,830.43</w:t>
            </w:r>
          </w:p>
        </w:tc>
      </w:tr>
    </w:tbl>
    <w:p>
      <w:pPr>
        <w:spacing w:before="150" w:beforeLines="50" w:after="150" w:afterLines="50" w:line="360" w:lineRule="auto"/>
        <w:ind w:firstLine="420" w:firstLineChars="200"/>
        <w:rPr>
          <w:rFonts w:ascii="宋体"/>
          <w:b/>
          <w:color w:val="auto"/>
          <w:szCs w:val="21"/>
        </w:rPr>
      </w:pPr>
      <w:r>
        <w:rPr>
          <w:rFonts w:hint="eastAsia" w:ascii="宋体" w:hAnsi="宋体"/>
          <w:b/>
          <w:color w:val="auto"/>
          <w:szCs w:val="21"/>
        </w:rPr>
        <w:t>（1）应收利息</w:t>
      </w:r>
      <w:r>
        <w:rPr>
          <w:rFonts w:hint="eastAsia" w:ascii="宋体"/>
          <w:b/>
          <w:color w:val="auto"/>
          <w:szCs w:val="21"/>
        </w:rPr>
        <w:t>：无</w:t>
      </w:r>
    </w:p>
    <w:p>
      <w:pPr>
        <w:spacing w:before="150" w:beforeLines="50" w:after="50" w:line="360" w:lineRule="auto"/>
        <w:ind w:firstLine="411" w:firstLineChars="196"/>
        <w:rPr>
          <w:rFonts w:ascii="宋体"/>
          <w:b/>
          <w:color w:val="auto"/>
          <w:szCs w:val="21"/>
        </w:rPr>
      </w:pPr>
      <w:r>
        <w:rPr>
          <w:rFonts w:hint="eastAsia" w:ascii="宋体"/>
          <w:b/>
          <w:color w:val="auto"/>
          <w:szCs w:val="21"/>
        </w:rPr>
        <w:t>（2）应收股利：无</w:t>
      </w:r>
    </w:p>
    <w:p>
      <w:pPr>
        <w:spacing w:before="150" w:beforeLines="50" w:after="50" w:line="360" w:lineRule="auto"/>
        <w:ind w:firstLine="411" w:firstLineChars="196"/>
        <w:rPr>
          <w:rFonts w:ascii="宋体"/>
          <w:b/>
          <w:color w:val="auto"/>
          <w:szCs w:val="21"/>
        </w:rPr>
      </w:pPr>
      <w:r>
        <w:rPr>
          <w:rFonts w:hint="eastAsia" w:ascii="宋体"/>
          <w:b/>
          <w:color w:val="auto"/>
          <w:szCs w:val="21"/>
        </w:rPr>
        <w:t>（3）其他应收款</w:t>
      </w:r>
    </w:p>
    <w:p>
      <w:pPr>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①按账龄披露：</w:t>
      </w:r>
    </w:p>
    <w:tbl>
      <w:tblPr>
        <w:tblStyle w:val="9"/>
        <w:tblW w:w="5000" w:type="pct"/>
        <w:tblCaption w:val="&quot;\\lisheng\共享\1、伟隆2022年度审计\1、2022年度审计\1、附注及报告\2022年\附注计算-伟隆 - 2022.xlsx&quot; &quot;2022附注格式!_ReportTable_0116&quot;"/>
        <w:tblDescription w:val="A1047:B1054"/>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4926"/>
        <w:gridCol w:w="4927"/>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2500" w:type="pct"/>
            <w:tcBorders>
              <w:top w:val="single" w:color="auto" w:sz="12" w:space="0"/>
              <w:bottom w:val="single" w:color="auto" w:sz="12" w:space="0"/>
              <w:right w:val="single" w:color="auto" w:sz="4" w:space="0"/>
            </w:tcBorders>
            <w:vAlign w:val="center"/>
          </w:tcPr>
          <w:p>
            <w:pPr>
              <w:jc w:val="center"/>
              <w:rPr>
                <w:b/>
                <w:color w:val="auto"/>
                <w:sz w:val="18"/>
                <w:szCs w:val="18"/>
              </w:rPr>
            </w:pPr>
            <w:r>
              <w:rPr>
                <w:rFonts w:hint="eastAsia"/>
                <w:b/>
                <w:color w:val="auto"/>
                <w:sz w:val="18"/>
                <w:szCs w:val="18"/>
              </w:rPr>
              <w:t>账  龄</w:t>
            </w:r>
          </w:p>
        </w:tc>
        <w:tc>
          <w:tcPr>
            <w:tcW w:w="2500" w:type="pct"/>
            <w:tcBorders>
              <w:top w:val="single" w:color="auto" w:sz="12" w:space="0"/>
              <w:left w:val="single" w:color="auto" w:sz="4" w:space="0"/>
              <w:bottom w:val="single" w:color="auto" w:sz="12" w:space="0"/>
              <w:right w:val="nil"/>
            </w:tcBorders>
            <w:vAlign w:val="center"/>
          </w:tcPr>
          <w:p>
            <w:pPr>
              <w:jc w:val="center"/>
              <w:rPr>
                <w:rFonts w:ascii="宋体"/>
                <w:b/>
                <w:color w:val="auto"/>
                <w:sz w:val="18"/>
                <w:szCs w:val="18"/>
              </w:rPr>
            </w:pPr>
            <w:r>
              <w:rPr>
                <w:rFonts w:hint="eastAsia" w:ascii="宋体" w:hAnsi="宋体"/>
                <w:b/>
                <w:color w:val="auto"/>
                <w:sz w:val="18"/>
                <w:szCs w:val="18"/>
              </w:rPr>
              <w:t>账面余额</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2500" w:type="pct"/>
            <w:tcBorders>
              <w:top w:val="single" w:color="auto" w:sz="12" w:space="0"/>
              <w:bottom w:val="single" w:color="auto" w:sz="6" w:space="0"/>
              <w:right w:val="single" w:color="auto" w:sz="4" w:space="0"/>
            </w:tcBorders>
            <w:vAlign w:val="bottom"/>
          </w:tcPr>
          <w:p>
            <w:pPr>
              <w:rPr>
                <w:rFonts w:ascii="宋体" w:hAnsi="宋体"/>
                <w:color w:val="auto"/>
                <w:sz w:val="18"/>
                <w:szCs w:val="18"/>
              </w:rPr>
            </w:pPr>
            <w:r>
              <w:rPr>
                <w:rFonts w:ascii="宋体" w:hAnsi="宋体"/>
                <w:color w:val="auto"/>
                <w:sz w:val="18"/>
                <w:szCs w:val="18"/>
              </w:rPr>
              <w:t>1年以内（含1年）</w:t>
            </w:r>
          </w:p>
        </w:tc>
        <w:tc>
          <w:tcPr>
            <w:tcW w:w="2500" w:type="pct"/>
            <w:tcBorders>
              <w:top w:val="single" w:color="auto" w:sz="12" w:space="0"/>
              <w:left w:val="single" w:color="auto" w:sz="4" w:space="0"/>
              <w:bottom w:val="single" w:color="auto" w:sz="6"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23,003,174.48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2500" w:type="pct"/>
            <w:tcBorders>
              <w:top w:val="single" w:color="auto" w:sz="6" w:space="0"/>
              <w:bottom w:val="single" w:color="auto" w:sz="6" w:space="0"/>
              <w:right w:val="single" w:color="auto" w:sz="4" w:space="0"/>
            </w:tcBorders>
            <w:vAlign w:val="bottom"/>
          </w:tcPr>
          <w:p>
            <w:pPr>
              <w:rPr>
                <w:rFonts w:ascii="宋体" w:hAnsi="宋体"/>
                <w:color w:val="auto"/>
                <w:sz w:val="18"/>
                <w:szCs w:val="18"/>
              </w:rPr>
            </w:pPr>
            <w:r>
              <w:rPr>
                <w:rFonts w:ascii="宋体" w:hAnsi="宋体"/>
                <w:color w:val="auto"/>
                <w:sz w:val="18"/>
                <w:szCs w:val="18"/>
              </w:rPr>
              <w:t>1至2年（含2年）</w:t>
            </w:r>
          </w:p>
        </w:tc>
        <w:tc>
          <w:tcPr>
            <w:tcW w:w="2500" w:type="pct"/>
            <w:tcBorders>
              <w:top w:val="single" w:color="auto" w:sz="6" w:space="0"/>
              <w:left w:val="single" w:color="auto" w:sz="4" w:space="0"/>
              <w:bottom w:val="single" w:color="auto" w:sz="6"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1,237,758.13</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2500" w:type="pct"/>
            <w:tcBorders>
              <w:top w:val="single" w:color="auto" w:sz="6" w:space="0"/>
              <w:bottom w:val="single" w:color="auto" w:sz="6" w:space="0"/>
              <w:right w:val="single" w:color="auto" w:sz="4" w:space="0"/>
            </w:tcBorders>
            <w:vAlign w:val="bottom"/>
          </w:tcPr>
          <w:p>
            <w:pPr>
              <w:rPr>
                <w:rFonts w:ascii="宋体" w:hAnsi="宋体"/>
                <w:color w:val="auto"/>
                <w:sz w:val="18"/>
                <w:szCs w:val="18"/>
              </w:rPr>
            </w:pPr>
            <w:r>
              <w:rPr>
                <w:rFonts w:ascii="宋体" w:hAnsi="宋体"/>
                <w:color w:val="auto"/>
                <w:sz w:val="18"/>
                <w:szCs w:val="18"/>
              </w:rPr>
              <w:t>2至3年（含3年）</w:t>
            </w:r>
          </w:p>
        </w:tc>
        <w:tc>
          <w:tcPr>
            <w:tcW w:w="2500" w:type="pct"/>
            <w:tcBorders>
              <w:top w:val="single" w:color="auto" w:sz="6" w:space="0"/>
              <w:left w:val="single" w:color="auto" w:sz="4" w:space="0"/>
              <w:bottom w:val="single" w:color="auto" w:sz="6" w:space="0"/>
            </w:tcBorders>
            <w:vAlign w:val="bottom"/>
          </w:tcPr>
          <w:p>
            <w:pPr>
              <w:jc w:val="right"/>
              <w:rPr>
                <w:rFonts w:cs="宋体" w:asciiTheme="minorEastAsia" w:hAnsiTheme="minorEastAsia" w:eastAsiaTheme="minorEastAsia"/>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2500" w:type="pct"/>
            <w:tcBorders>
              <w:top w:val="single" w:color="auto" w:sz="6" w:space="0"/>
              <w:bottom w:val="single" w:color="auto" w:sz="6" w:space="0"/>
              <w:right w:val="single" w:color="auto" w:sz="4" w:space="0"/>
            </w:tcBorders>
            <w:vAlign w:val="bottom"/>
          </w:tcPr>
          <w:p>
            <w:pPr>
              <w:rPr>
                <w:rFonts w:ascii="宋体" w:hAnsi="宋体"/>
                <w:color w:val="auto"/>
                <w:sz w:val="18"/>
                <w:szCs w:val="18"/>
              </w:rPr>
            </w:pPr>
            <w:r>
              <w:rPr>
                <w:rFonts w:ascii="宋体" w:hAnsi="宋体"/>
                <w:color w:val="auto"/>
                <w:sz w:val="18"/>
                <w:szCs w:val="18"/>
              </w:rPr>
              <w:t>3至4年（含4年）</w:t>
            </w:r>
          </w:p>
        </w:tc>
        <w:tc>
          <w:tcPr>
            <w:tcW w:w="2500" w:type="pct"/>
            <w:tcBorders>
              <w:top w:val="single" w:color="auto" w:sz="6" w:space="0"/>
              <w:left w:val="single" w:color="auto" w:sz="4" w:space="0"/>
              <w:bottom w:val="single" w:color="auto" w:sz="6" w:space="0"/>
            </w:tcBorders>
            <w:vAlign w:val="bottom"/>
          </w:tcPr>
          <w:p>
            <w:pPr>
              <w:jc w:val="right"/>
              <w:rPr>
                <w:rFonts w:cs="宋体" w:asciiTheme="minorEastAsia" w:hAnsiTheme="minorEastAsia" w:eastAsiaTheme="minorEastAsia"/>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2500" w:type="pct"/>
            <w:tcBorders>
              <w:top w:val="single" w:color="auto" w:sz="6" w:space="0"/>
              <w:bottom w:val="single" w:color="auto" w:sz="6" w:space="0"/>
              <w:right w:val="single" w:color="auto" w:sz="4" w:space="0"/>
            </w:tcBorders>
            <w:vAlign w:val="bottom"/>
          </w:tcPr>
          <w:p>
            <w:pPr>
              <w:rPr>
                <w:rFonts w:ascii="宋体" w:hAnsi="宋体"/>
                <w:color w:val="auto"/>
                <w:sz w:val="18"/>
                <w:szCs w:val="18"/>
              </w:rPr>
            </w:pPr>
            <w:r>
              <w:rPr>
                <w:rFonts w:ascii="宋体" w:hAnsi="宋体"/>
                <w:color w:val="auto"/>
                <w:sz w:val="18"/>
                <w:szCs w:val="18"/>
              </w:rPr>
              <w:t>4至5年（含5年）</w:t>
            </w:r>
          </w:p>
        </w:tc>
        <w:tc>
          <w:tcPr>
            <w:tcW w:w="2500" w:type="pct"/>
            <w:tcBorders>
              <w:top w:val="single" w:color="auto" w:sz="6" w:space="0"/>
              <w:left w:val="single" w:color="auto" w:sz="4" w:space="0"/>
              <w:bottom w:val="single" w:color="auto" w:sz="6" w:space="0"/>
            </w:tcBorders>
            <w:vAlign w:val="bottom"/>
          </w:tcPr>
          <w:p>
            <w:pPr>
              <w:jc w:val="right"/>
              <w:rPr>
                <w:rFonts w:cs="宋体" w:asciiTheme="minorEastAsia" w:hAnsiTheme="minorEastAsia" w:eastAsiaTheme="minorEastAsia"/>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2500" w:type="pct"/>
            <w:tcBorders>
              <w:top w:val="single" w:color="auto" w:sz="6" w:space="0"/>
              <w:bottom w:val="single" w:color="auto" w:sz="6" w:space="0"/>
              <w:right w:val="single" w:color="auto" w:sz="4" w:space="0"/>
            </w:tcBorders>
            <w:vAlign w:val="bottom"/>
          </w:tcPr>
          <w:p>
            <w:pPr>
              <w:rPr>
                <w:rFonts w:ascii="宋体" w:hAnsi="宋体"/>
                <w:color w:val="auto"/>
                <w:sz w:val="18"/>
                <w:szCs w:val="18"/>
              </w:rPr>
            </w:pPr>
            <w:r>
              <w:rPr>
                <w:rFonts w:ascii="宋体" w:hAnsi="宋体"/>
                <w:color w:val="auto"/>
                <w:sz w:val="18"/>
                <w:szCs w:val="18"/>
              </w:rPr>
              <w:t>5年以上</w:t>
            </w:r>
          </w:p>
        </w:tc>
        <w:tc>
          <w:tcPr>
            <w:tcW w:w="2500" w:type="pct"/>
            <w:tcBorders>
              <w:top w:val="single" w:color="auto" w:sz="6" w:space="0"/>
              <w:left w:val="single" w:color="auto" w:sz="4" w:space="0"/>
              <w:bottom w:val="single" w:color="auto" w:sz="6"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50,000.00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2500" w:type="pct"/>
            <w:tcBorders>
              <w:top w:val="single" w:color="auto" w:sz="12" w:space="0"/>
              <w:bottom w:val="single" w:color="auto" w:sz="12" w:space="0"/>
              <w:right w:val="single" w:color="auto" w:sz="4" w:space="0"/>
            </w:tcBorders>
            <w:vAlign w:val="bottom"/>
          </w:tcPr>
          <w:p>
            <w:pPr>
              <w:jc w:val="center"/>
              <w:rPr>
                <w:b/>
                <w:color w:val="auto"/>
                <w:sz w:val="18"/>
                <w:szCs w:val="18"/>
              </w:rPr>
            </w:pPr>
            <w:r>
              <w:rPr>
                <w:rFonts w:hint="eastAsia"/>
                <w:b/>
                <w:color w:val="auto"/>
                <w:sz w:val="18"/>
                <w:szCs w:val="18"/>
              </w:rPr>
              <w:t>合计</w:t>
            </w:r>
          </w:p>
        </w:tc>
        <w:tc>
          <w:tcPr>
            <w:tcW w:w="2500" w:type="pct"/>
            <w:tcBorders>
              <w:top w:val="single" w:color="auto" w:sz="12" w:space="0"/>
              <w:left w:val="single" w:color="auto" w:sz="4"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24,290,932.61</w:t>
            </w:r>
          </w:p>
        </w:tc>
      </w:tr>
    </w:tbl>
    <w:p>
      <w:pPr>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②其他应收款按款项性质分类情况：</w:t>
      </w:r>
    </w:p>
    <w:tbl>
      <w:tblPr>
        <w:tblStyle w:val="9"/>
        <w:tblW w:w="5000" w:type="pct"/>
        <w:tblCaption w:val="&quot;\\lisheng\共享\1、伟隆2022年度审计\1、2022年度审计\1、附注及报告\2022年\附注计算-伟隆 - 2022.xlsx&quot; &quot;2022附注格式!_ReportTable_0117&quot;"/>
        <w:tblDescription w:val="A1056:C1060"/>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3283"/>
        <w:gridCol w:w="3284"/>
        <w:gridCol w:w="3286"/>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1666" w:type="pct"/>
            <w:tcBorders>
              <w:top w:val="single" w:color="auto" w:sz="12" w:space="0"/>
              <w:bottom w:val="single" w:color="auto" w:sz="12" w:space="0"/>
              <w:right w:val="single" w:color="auto" w:sz="4" w:space="0"/>
            </w:tcBorders>
            <w:vAlign w:val="center"/>
          </w:tcPr>
          <w:p>
            <w:pPr>
              <w:jc w:val="center"/>
              <w:rPr>
                <w:rFonts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款项性质</w:t>
            </w:r>
          </w:p>
        </w:tc>
        <w:tc>
          <w:tcPr>
            <w:tcW w:w="1666" w:type="pct"/>
            <w:tcBorders>
              <w:top w:val="single" w:color="auto" w:sz="12" w:space="0"/>
              <w:left w:val="single" w:color="auto" w:sz="4" w:space="0"/>
              <w:bottom w:val="single" w:color="auto" w:sz="12" w:space="0"/>
              <w:right w:val="single" w:color="auto" w:sz="4" w:space="0"/>
            </w:tcBorders>
            <w:vAlign w:val="center"/>
          </w:tcPr>
          <w:p>
            <w:pPr>
              <w:ind w:firstLine="361"/>
              <w:jc w:val="center"/>
              <w:rPr>
                <w:rFonts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期末余额</w:t>
            </w:r>
          </w:p>
        </w:tc>
        <w:tc>
          <w:tcPr>
            <w:tcW w:w="1667" w:type="pct"/>
            <w:tcBorders>
              <w:top w:val="single" w:color="auto" w:sz="12" w:space="0"/>
              <w:left w:val="single" w:color="auto" w:sz="4" w:space="0"/>
              <w:bottom w:val="single" w:color="auto" w:sz="12" w:space="0"/>
            </w:tcBorders>
            <w:vAlign w:val="center"/>
          </w:tcPr>
          <w:p>
            <w:pPr>
              <w:ind w:firstLine="361"/>
              <w:jc w:val="center"/>
              <w:rPr>
                <w:rFonts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期初余额</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1666" w:type="pct"/>
            <w:tcBorders>
              <w:top w:val="single" w:color="auto" w:sz="12" w:space="0"/>
              <w:bottom w:val="single" w:color="auto" w:sz="4" w:space="0"/>
              <w:right w:val="single" w:color="auto" w:sz="4" w:space="0"/>
            </w:tcBorders>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出口退税</w:t>
            </w:r>
          </w:p>
        </w:tc>
        <w:tc>
          <w:tcPr>
            <w:tcW w:w="1666" w:type="pct"/>
            <w:tcBorders>
              <w:top w:val="single" w:color="auto" w:sz="12"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3,476,672.26</w:t>
            </w:r>
          </w:p>
        </w:tc>
        <w:tc>
          <w:tcPr>
            <w:tcW w:w="1667" w:type="pct"/>
            <w:tcBorders>
              <w:top w:val="single" w:color="auto" w:sz="12" w:space="0"/>
              <w:left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ascii="宋体" w:hAnsi="宋体" w:cs="宋体"/>
                <w:color w:val="auto"/>
                <w:kern w:val="0"/>
                <w:sz w:val="18"/>
                <w:szCs w:val="18"/>
              </w:rPr>
              <w:t xml:space="preserve">       4,276,202.06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1666" w:type="pct"/>
            <w:tcBorders>
              <w:top w:val="single" w:color="auto" w:sz="4" w:space="0"/>
              <w:bottom w:val="single" w:color="auto" w:sz="4" w:space="0"/>
              <w:right w:val="single" w:color="auto" w:sz="4" w:space="0"/>
            </w:tcBorders>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保证金</w:t>
            </w:r>
          </w:p>
        </w:tc>
        <w:tc>
          <w:tcPr>
            <w:tcW w:w="1666" w:type="pc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496,044.82</w:t>
            </w:r>
          </w:p>
        </w:tc>
        <w:tc>
          <w:tcPr>
            <w:tcW w:w="1667" w:type="pct"/>
            <w:tcBorders>
              <w:top w:val="single" w:color="auto" w:sz="4" w:space="0"/>
              <w:left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ascii="宋体" w:hAnsi="宋体" w:cs="宋体"/>
                <w:color w:val="auto"/>
                <w:kern w:val="0"/>
                <w:sz w:val="18"/>
                <w:szCs w:val="18"/>
              </w:rPr>
              <w:t xml:space="preserve">         320,267.91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1666" w:type="pct"/>
            <w:tcBorders>
              <w:top w:val="single" w:color="auto" w:sz="4" w:space="0"/>
              <w:bottom w:val="single" w:color="auto" w:sz="12" w:space="0"/>
              <w:right w:val="single" w:color="auto" w:sz="4" w:space="0"/>
            </w:tcBorders>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单位往来款</w:t>
            </w:r>
          </w:p>
        </w:tc>
        <w:tc>
          <w:tcPr>
            <w:tcW w:w="1666" w:type="pct"/>
            <w:tcBorders>
              <w:top w:val="single" w:color="auto" w:sz="4"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color w:val="auto"/>
                <w:kern w:val="0"/>
                <w:sz w:val="18"/>
                <w:szCs w:val="18"/>
              </w:rPr>
            </w:pPr>
            <w:r>
              <w:rPr>
                <w:rFonts w:ascii="宋体" w:hAnsi="宋体" w:cs="宋体"/>
                <w:color w:val="auto"/>
                <w:kern w:val="0"/>
                <w:sz w:val="18"/>
                <w:szCs w:val="18"/>
              </w:rPr>
              <w:t>20,318,215.53</w:t>
            </w:r>
          </w:p>
        </w:tc>
        <w:tc>
          <w:tcPr>
            <w:tcW w:w="1667" w:type="pct"/>
            <w:tcBorders>
              <w:top w:val="single" w:color="auto" w:sz="4" w:space="0"/>
              <w:left w:val="single" w:color="auto" w:sz="4" w:space="0"/>
              <w:bottom w:val="single" w:color="auto" w:sz="12" w:space="0"/>
            </w:tcBorders>
            <w:vAlign w:val="bottom"/>
          </w:tcPr>
          <w:p>
            <w:pPr>
              <w:jc w:val="right"/>
              <w:rPr>
                <w:rFonts w:cs="宋体" w:asciiTheme="majorEastAsia" w:hAnsiTheme="majorEastAsia" w:eastAsiaTheme="majorEastAsia"/>
                <w:color w:val="auto"/>
                <w:sz w:val="18"/>
                <w:szCs w:val="18"/>
              </w:rPr>
            </w:pPr>
            <w:r>
              <w:rPr>
                <w:rFonts w:ascii="宋体" w:hAnsi="宋体" w:cs="宋体"/>
                <w:color w:val="auto"/>
                <w:kern w:val="0"/>
                <w:sz w:val="18"/>
                <w:szCs w:val="18"/>
              </w:rPr>
              <w:t xml:space="preserve">      16,683,553.24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1666" w:type="pct"/>
            <w:tcBorders>
              <w:top w:val="single" w:color="auto" w:sz="12" w:space="0"/>
              <w:bottom w:val="single" w:color="auto" w:sz="12" w:space="0"/>
              <w:right w:val="single" w:color="auto" w:sz="4" w:space="0"/>
            </w:tcBorders>
            <w:vAlign w:val="bottom"/>
          </w:tcPr>
          <w:p>
            <w:pPr>
              <w:widowControl/>
              <w:jc w:val="center"/>
              <w:rPr>
                <w:rFonts w:ascii="宋体" w:hAnsi="宋体" w:cs="宋体"/>
                <w:b/>
                <w:bCs/>
                <w:color w:val="auto"/>
                <w:kern w:val="0"/>
                <w:sz w:val="18"/>
                <w:szCs w:val="18"/>
              </w:rPr>
            </w:pPr>
            <w:r>
              <w:rPr>
                <w:rFonts w:hint="eastAsia"/>
                <w:b/>
                <w:color w:val="auto"/>
                <w:sz w:val="18"/>
                <w:szCs w:val="18"/>
              </w:rPr>
              <w:t>合计</w:t>
            </w:r>
          </w:p>
        </w:tc>
        <w:tc>
          <w:tcPr>
            <w:tcW w:w="1666" w:type="pct"/>
            <w:tcBorders>
              <w:top w:val="single" w:color="auto" w:sz="12" w:space="0"/>
              <w:left w:val="single" w:color="auto" w:sz="4" w:space="0"/>
              <w:bottom w:val="single" w:color="auto" w:sz="12" w:space="0"/>
              <w:right w:val="single" w:color="auto" w:sz="4" w:space="0"/>
            </w:tcBorders>
            <w:vAlign w:val="bottom"/>
          </w:tcPr>
          <w:p>
            <w:pPr>
              <w:autoSpaceDE w:val="0"/>
              <w:autoSpaceDN w:val="0"/>
              <w:adjustRightInd w:val="0"/>
              <w:jc w:val="right"/>
              <w:rPr>
                <w:rFonts w:ascii="宋体" w:hAnsi="宋体" w:cs="宋体"/>
                <w:b/>
                <w:bCs/>
                <w:color w:val="auto"/>
                <w:kern w:val="0"/>
                <w:sz w:val="18"/>
                <w:szCs w:val="18"/>
              </w:rPr>
            </w:pPr>
            <w:r>
              <w:rPr>
                <w:rFonts w:ascii="宋体" w:hAnsi="宋体" w:cs="宋体"/>
                <w:b/>
                <w:bCs/>
                <w:color w:val="auto"/>
                <w:kern w:val="0"/>
                <w:sz w:val="18"/>
                <w:szCs w:val="18"/>
              </w:rPr>
              <w:t>24,290,932.61</w:t>
            </w:r>
          </w:p>
        </w:tc>
        <w:tc>
          <w:tcPr>
            <w:tcW w:w="1667" w:type="pct"/>
            <w:tcBorders>
              <w:top w:val="single" w:color="auto" w:sz="12" w:space="0"/>
              <w:left w:val="single" w:color="auto" w:sz="4" w:space="0"/>
              <w:bottom w:val="single" w:color="auto" w:sz="12" w:space="0"/>
            </w:tcBorders>
            <w:vAlign w:val="bottom"/>
          </w:tcPr>
          <w:p>
            <w:pPr>
              <w:jc w:val="right"/>
              <w:rPr>
                <w:rFonts w:cs="宋体" w:asciiTheme="majorEastAsia" w:hAnsiTheme="majorEastAsia" w:eastAsiaTheme="majorEastAsia"/>
                <w:b/>
                <w:bCs/>
                <w:color w:val="auto"/>
                <w:sz w:val="18"/>
                <w:szCs w:val="18"/>
              </w:rPr>
            </w:pPr>
            <w:r>
              <w:rPr>
                <w:rFonts w:ascii="宋体" w:hAnsi="宋体" w:cs="宋体"/>
                <w:b/>
                <w:bCs/>
                <w:color w:val="auto"/>
                <w:kern w:val="0"/>
                <w:sz w:val="18"/>
                <w:szCs w:val="18"/>
              </w:rPr>
              <w:t xml:space="preserve">    21,280,023.21 </w:t>
            </w:r>
          </w:p>
        </w:tc>
      </w:tr>
    </w:tbl>
    <w:p>
      <w:pPr>
        <w:spacing w:before="150" w:beforeLines="50" w:after="150" w:afterLines="50" w:line="360" w:lineRule="auto"/>
        <w:ind w:firstLine="420" w:firstLineChars="200"/>
        <w:rPr>
          <w:rFonts w:ascii="宋体" w:hAnsi="宋体"/>
          <w:bCs/>
          <w:color w:val="auto"/>
          <w:szCs w:val="21"/>
        </w:rPr>
      </w:pPr>
      <w:r>
        <w:rPr>
          <w:rFonts w:ascii="宋体" w:hAnsi="宋体"/>
          <w:bCs/>
          <w:color w:val="auto"/>
          <w:szCs w:val="21"/>
        </w:rPr>
        <w:fldChar w:fldCharType="begin"/>
      </w:r>
      <w:r>
        <w:rPr>
          <w:rFonts w:hint="eastAsia" w:ascii="宋体" w:hAnsi="宋体"/>
          <w:bCs/>
          <w:color w:val="auto"/>
          <w:szCs w:val="21"/>
        </w:rPr>
        <w:instrText xml:space="preserve">= 3 \* GB3</w:instrText>
      </w:r>
      <w:r>
        <w:rPr>
          <w:rFonts w:ascii="宋体" w:hAnsi="宋体"/>
          <w:bCs/>
          <w:color w:val="auto"/>
          <w:szCs w:val="21"/>
        </w:rPr>
        <w:fldChar w:fldCharType="separate"/>
      </w:r>
      <w:r>
        <w:rPr>
          <w:rFonts w:hint="eastAsia" w:ascii="宋体" w:hAnsi="宋体"/>
          <w:bCs/>
          <w:color w:val="auto"/>
          <w:szCs w:val="21"/>
        </w:rPr>
        <w:t>③</w:t>
      </w:r>
      <w:r>
        <w:rPr>
          <w:rFonts w:ascii="宋体" w:hAnsi="宋体"/>
          <w:bCs/>
          <w:color w:val="auto"/>
          <w:szCs w:val="21"/>
        </w:rPr>
        <w:fldChar w:fldCharType="end"/>
      </w:r>
      <w:r>
        <w:rPr>
          <w:rFonts w:hint="eastAsia" w:ascii="宋体" w:hAnsi="宋体"/>
          <w:bCs/>
          <w:color w:val="auto"/>
          <w:szCs w:val="21"/>
        </w:rPr>
        <w:t>坏账准备计提情况：</w:t>
      </w:r>
    </w:p>
    <w:tbl>
      <w:tblPr>
        <w:tblStyle w:val="9"/>
        <w:tblW w:w="5000" w:type="pct"/>
        <w:tblCaption w:val="&quot;\\lisheng\共享\1、伟隆2022年度审计\1、2022年度审计\1、附注及报告\2022年\附注计算-伟隆 - 2022.xlsx&quot; &quot;2022附注格式!_ReportTable_0118&quot;"/>
        <w:tblDescription w:val="A1062:E1075"/>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28" w:type="dxa"/>
          <w:bottom w:w="0" w:type="dxa"/>
          <w:right w:w="28" w:type="dxa"/>
        </w:tblCellMar>
      </w:tblPr>
      <w:tblGrid>
        <w:gridCol w:w="1940"/>
        <w:gridCol w:w="1671"/>
        <w:gridCol w:w="2127"/>
        <w:gridCol w:w="2127"/>
        <w:gridCol w:w="1828"/>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01" w:type="pct"/>
            <w:vMerge w:val="restart"/>
            <w:tcBorders>
              <w:top w:val="single" w:color="auto" w:sz="12" w:space="0"/>
              <w:bottom w:val="single" w:color="auto" w:sz="8"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坏账准备</w:t>
            </w:r>
          </w:p>
        </w:tc>
        <w:tc>
          <w:tcPr>
            <w:tcW w:w="862" w:type="pct"/>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第一阶段</w:t>
            </w:r>
          </w:p>
        </w:tc>
        <w:tc>
          <w:tcPr>
            <w:tcW w:w="1097" w:type="pct"/>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第二阶段</w:t>
            </w:r>
          </w:p>
        </w:tc>
        <w:tc>
          <w:tcPr>
            <w:tcW w:w="1097" w:type="pct"/>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第三阶段</w:t>
            </w:r>
          </w:p>
        </w:tc>
        <w:tc>
          <w:tcPr>
            <w:tcW w:w="943" w:type="pct"/>
            <w:vMerge w:val="restart"/>
            <w:tcBorders>
              <w:top w:val="single" w:color="auto" w:sz="12" w:space="0"/>
              <w:left w:val="single" w:color="auto" w:sz="4" w:space="0"/>
              <w:bottom w:val="single" w:color="auto" w:sz="12" w:space="0"/>
            </w:tcBorders>
            <w:vAlign w:val="center"/>
          </w:tcPr>
          <w:p>
            <w:pPr>
              <w:jc w:val="center"/>
              <w:rPr>
                <w:rFonts w:ascii="宋体" w:hAnsi="宋体"/>
                <w:b/>
                <w:color w:val="auto"/>
                <w:sz w:val="18"/>
                <w:szCs w:val="18"/>
              </w:rPr>
            </w:pPr>
            <w:r>
              <w:rPr>
                <w:rFonts w:hint="eastAsia" w:ascii="宋体" w:hAnsi="宋体"/>
                <w:b/>
                <w:color w:val="auto"/>
                <w:sz w:val="18"/>
                <w:szCs w:val="18"/>
              </w:rPr>
              <w:t>合计</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7" w:hRule="atLeast"/>
        </w:trPr>
        <w:tc>
          <w:tcPr>
            <w:tcW w:w="1001" w:type="pct"/>
            <w:vMerge w:val="continue"/>
            <w:tcBorders>
              <w:top w:val="single" w:color="auto" w:sz="8" w:space="0"/>
              <w:bottom w:val="single" w:color="auto" w:sz="12" w:space="0"/>
              <w:right w:val="single" w:color="auto" w:sz="4" w:space="0"/>
            </w:tcBorders>
            <w:vAlign w:val="center"/>
          </w:tcPr>
          <w:p>
            <w:pPr>
              <w:jc w:val="center"/>
              <w:rPr>
                <w:rFonts w:ascii="宋体" w:hAnsi="宋体"/>
                <w:color w:val="auto"/>
                <w:sz w:val="18"/>
                <w:szCs w:val="18"/>
              </w:rPr>
            </w:pPr>
          </w:p>
        </w:tc>
        <w:tc>
          <w:tcPr>
            <w:tcW w:w="862"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未来</w:t>
            </w:r>
            <w:r>
              <w:rPr>
                <w:rFonts w:ascii="宋体" w:hAnsi="宋体"/>
                <w:b/>
                <w:color w:val="auto"/>
                <w:sz w:val="18"/>
                <w:szCs w:val="18"/>
              </w:rPr>
              <w:t>12个月预期信用损失</w:t>
            </w:r>
          </w:p>
        </w:tc>
        <w:tc>
          <w:tcPr>
            <w:tcW w:w="1097"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整个存续期预期信用损失（未发生信用减值）</w:t>
            </w:r>
          </w:p>
        </w:tc>
        <w:tc>
          <w:tcPr>
            <w:tcW w:w="1097" w:type="pct"/>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auto"/>
                <w:sz w:val="18"/>
                <w:szCs w:val="18"/>
              </w:rPr>
            </w:pPr>
            <w:r>
              <w:rPr>
                <w:rFonts w:hint="eastAsia" w:ascii="宋体" w:hAnsi="宋体"/>
                <w:b/>
                <w:color w:val="auto"/>
                <w:sz w:val="18"/>
                <w:szCs w:val="18"/>
              </w:rPr>
              <w:t>整个存续期预期信用损失（已发生信用减值）</w:t>
            </w:r>
          </w:p>
        </w:tc>
        <w:tc>
          <w:tcPr>
            <w:tcW w:w="943" w:type="pct"/>
            <w:vMerge w:val="continue"/>
            <w:tcBorders>
              <w:top w:val="single" w:color="auto" w:sz="8" w:space="0"/>
              <w:left w:val="single" w:color="auto" w:sz="4" w:space="0"/>
              <w:bottom w:val="single" w:color="auto" w:sz="12" w:space="0"/>
            </w:tcBorders>
            <w:vAlign w:val="center"/>
          </w:tcPr>
          <w:p>
            <w:pPr>
              <w:jc w:val="center"/>
              <w:rPr>
                <w:rFonts w:ascii="宋体" w:hAnsi="宋体"/>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1001" w:type="pct"/>
            <w:tcBorders>
              <w:top w:val="single" w:color="auto" w:sz="12" w:space="0"/>
              <w:bottom w:val="single" w:color="auto" w:sz="4" w:space="0"/>
              <w:right w:val="single" w:color="auto" w:sz="4" w:space="0"/>
            </w:tcBorders>
            <w:vAlign w:val="bottom"/>
          </w:tcPr>
          <w:p>
            <w:pPr>
              <w:rPr>
                <w:rFonts w:ascii="宋体" w:hAnsi="宋体"/>
                <w:color w:val="auto"/>
                <w:sz w:val="18"/>
                <w:szCs w:val="18"/>
              </w:rPr>
            </w:pPr>
            <w:r>
              <w:rPr>
                <w:rFonts w:ascii="宋体" w:hAnsi="宋体"/>
                <w:color w:val="auto"/>
                <w:sz w:val="18"/>
                <w:szCs w:val="18"/>
              </w:rPr>
              <w:t>2022年1月1日余额</w:t>
            </w:r>
          </w:p>
        </w:tc>
        <w:tc>
          <w:tcPr>
            <w:tcW w:w="862"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1,519,192.78</w:t>
            </w:r>
          </w:p>
        </w:tc>
        <w:tc>
          <w:tcPr>
            <w:tcW w:w="1097"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943" w:type="pct"/>
            <w:tcBorders>
              <w:top w:val="single" w:color="auto" w:sz="12" w:space="0"/>
              <w:left w:val="single" w:color="auto" w:sz="4" w:space="0"/>
              <w:bottom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1,519,192.78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ascii="宋体" w:hAnsi="宋体"/>
                <w:color w:val="auto"/>
                <w:sz w:val="18"/>
                <w:szCs w:val="18"/>
              </w:rPr>
              <w:t>2022年1月1日余额在本期</w:t>
            </w:r>
          </w:p>
        </w:tc>
        <w:tc>
          <w:tcPr>
            <w:tcW w:w="86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943" w:type="pct"/>
            <w:tcBorders>
              <w:top w:val="single" w:color="auto" w:sz="4" w:space="0"/>
              <w:left w:val="single" w:color="auto" w:sz="4" w:space="0"/>
              <w:bottom w:val="single" w:color="auto" w:sz="4" w:space="0"/>
            </w:tcBorders>
            <w:vAlign w:val="bottom"/>
          </w:tcPr>
          <w:p>
            <w:pPr>
              <w:jc w:val="right"/>
              <w:rPr>
                <w:rFonts w:ascii="宋体" w:hAnsi="宋体" w:cs="宋体"/>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ascii="宋体" w:hAnsi="宋体"/>
                <w:color w:val="auto"/>
                <w:sz w:val="18"/>
                <w:szCs w:val="18"/>
              </w:rPr>
              <w:t>--转入第二阶段</w:t>
            </w:r>
          </w:p>
        </w:tc>
        <w:tc>
          <w:tcPr>
            <w:tcW w:w="86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943" w:type="pct"/>
            <w:tcBorders>
              <w:top w:val="single" w:color="auto" w:sz="4" w:space="0"/>
              <w:left w:val="single" w:color="auto" w:sz="4" w:space="0"/>
              <w:bottom w:val="single" w:color="auto" w:sz="4" w:space="0"/>
            </w:tcBorders>
            <w:vAlign w:val="bottom"/>
          </w:tcPr>
          <w:p>
            <w:pPr>
              <w:jc w:val="right"/>
              <w:rPr>
                <w:rFonts w:ascii="宋体" w:hAnsi="宋体" w:cs="宋体"/>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ascii="宋体" w:hAnsi="宋体"/>
                <w:color w:val="auto"/>
                <w:sz w:val="18"/>
                <w:szCs w:val="18"/>
              </w:rPr>
              <w:t>--转入第三阶段</w:t>
            </w:r>
          </w:p>
        </w:tc>
        <w:tc>
          <w:tcPr>
            <w:tcW w:w="86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943" w:type="pct"/>
            <w:tcBorders>
              <w:top w:val="single" w:color="auto" w:sz="4" w:space="0"/>
              <w:left w:val="single" w:color="auto" w:sz="4" w:space="0"/>
              <w:bottom w:val="single" w:color="auto" w:sz="4" w:space="0"/>
            </w:tcBorders>
            <w:vAlign w:val="bottom"/>
          </w:tcPr>
          <w:p>
            <w:pPr>
              <w:jc w:val="right"/>
              <w:rPr>
                <w:rFonts w:ascii="宋体" w:hAnsi="宋体" w:cs="宋体"/>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ascii="宋体" w:hAnsi="宋体"/>
                <w:color w:val="auto"/>
                <w:sz w:val="18"/>
                <w:szCs w:val="18"/>
              </w:rPr>
              <w:t>--转回第二阶段</w:t>
            </w:r>
          </w:p>
        </w:tc>
        <w:tc>
          <w:tcPr>
            <w:tcW w:w="86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943" w:type="pct"/>
            <w:tcBorders>
              <w:top w:val="single" w:color="auto" w:sz="4" w:space="0"/>
              <w:left w:val="single" w:color="auto" w:sz="4" w:space="0"/>
              <w:bottom w:val="single" w:color="auto" w:sz="4" w:space="0"/>
            </w:tcBorders>
            <w:vAlign w:val="bottom"/>
          </w:tcPr>
          <w:p>
            <w:pPr>
              <w:jc w:val="right"/>
              <w:rPr>
                <w:rFonts w:ascii="宋体" w:hAnsi="宋体" w:cs="宋体"/>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ascii="宋体" w:hAnsi="宋体"/>
                <w:color w:val="auto"/>
                <w:sz w:val="18"/>
                <w:szCs w:val="18"/>
              </w:rPr>
              <w:t>--转回第一阶段</w:t>
            </w:r>
          </w:p>
        </w:tc>
        <w:tc>
          <w:tcPr>
            <w:tcW w:w="86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943" w:type="pct"/>
            <w:tcBorders>
              <w:top w:val="single" w:color="auto" w:sz="4" w:space="0"/>
              <w:left w:val="single" w:color="auto" w:sz="4" w:space="0"/>
              <w:bottom w:val="single" w:color="auto" w:sz="4" w:space="0"/>
            </w:tcBorders>
            <w:vAlign w:val="bottom"/>
          </w:tcPr>
          <w:p>
            <w:pPr>
              <w:jc w:val="right"/>
              <w:rPr>
                <w:rFonts w:ascii="宋体" w:hAnsi="宋体" w:cs="宋体"/>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本期计提</w:t>
            </w:r>
          </w:p>
        </w:tc>
        <w:tc>
          <w:tcPr>
            <w:tcW w:w="86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943" w:type="pct"/>
            <w:tcBorders>
              <w:top w:val="single" w:color="auto" w:sz="4" w:space="0"/>
              <w:left w:val="single" w:color="auto" w:sz="4" w:space="0"/>
              <w:bottom w:val="single" w:color="auto" w:sz="4" w:space="0"/>
            </w:tcBorders>
            <w:vAlign w:val="bottom"/>
          </w:tcPr>
          <w:p>
            <w:pPr>
              <w:jc w:val="right"/>
              <w:rPr>
                <w:rFonts w:ascii="宋体" w:hAnsi="宋体" w:cs="宋体"/>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本期转回</w:t>
            </w:r>
          </w:p>
        </w:tc>
        <w:tc>
          <w:tcPr>
            <w:tcW w:w="86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195,258.24</w:t>
            </w: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943" w:type="pct"/>
            <w:tcBorders>
              <w:top w:val="single" w:color="auto" w:sz="4" w:space="0"/>
              <w:left w:val="single" w:color="auto" w:sz="4" w:space="0"/>
              <w:bottom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195,258.24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本期转销</w:t>
            </w:r>
          </w:p>
        </w:tc>
        <w:tc>
          <w:tcPr>
            <w:tcW w:w="86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943" w:type="pct"/>
            <w:tcBorders>
              <w:top w:val="single" w:color="auto" w:sz="4" w:space="0"/>
              <w:left w:val="single" w:color="auto" w:sz="4" w:space="0"/>
              <w:bottom w:val="single" w:color="auto" w:sz="4" w:space="0"/>
            </w:tcBorders>
            <w:vAlign w:val="bottom"/>
          </w:tcPr>
          <w:p>
            <w:pPr>
              <w:jc w:val="right"/>
              <w:rPr>
                <w:rFonts w:ascii="宋体" w:hAnsi="宋体" w:cs="宋体"/>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本期核销</w:t>
            </w:r>
          </w:p>
        </w:tc>
        <w:tc>
          <w:tcPr>
            <w:tcW w:w="86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943" w:type="pct"/>
            <w:tcBorders>
              <w:top w:val="single" w:color="auto" w:sz="4" w:space="0"/>
              <w:left w:val="single" w:color="auto" w:sz="4" w:space="0"/>
              <w:bottom w:val="single" w:color="auto" w:sz="4" w:space="0"/>
            </w:tcBorders>
            <w:vAlign w:val="bottom"/>
          </w:tcPr>
          <w:p>
            <w:pPr>
              <w:jc w:val="right"/>
              <w:rPr>
                <w:rFonts w:ascii="宋体" w:hAnsi="宋体" w:cs="宋体"/>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1001" w:type="pct"/>
            <w:tcBorders>
              <w:top w:val="single" w:color="auto" w:sz="4" w:space="0"/>
              <w:bottom w:val="single" w:color="auto" w:sz="4" w:space="0"/>
              <w:right w:val="single" w:color="auto" w:sz="4" w:space="0"/>
            </w:tcBorders>
            <w:vAlign w:val="bottom"/>
          </w:tcPr>
          <w:p>
            <w:pPr>
              <w:rPr>
                <w:rFonts w:ascii="宋体" w:hAnsi="宋体"/>
                <w:color w:val="auto"/>
                <w:sz w:val="18"/>
                <w:szCs w:val="18"/>
              </w:rPr>
            </w:pPr>
            <w:r>
              <w:rPr>
                <w:rFonts w:hint="eastAsia" w:ascii="宋体" w:hAnsi="宋体"/>
                <w:color w:val="auto"/>
                <w:sz w:val="18"/>
                <w:szCs w:val="18"/>
              </w:rPr>
              <w:t>其他变动</w:t>
            </w:r>
          </w:p>
        </w:tc>
        <w:tc>
          <w:tcPr>
            <w:tcW w:w="862"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943" w:type="pct"/>
            <w:tcBorders>
              <w:top w:val="single" w:color="auto" w:sz="4" w:space="0"/>
              <w:left w:val="single" w:color="auto" w:sz="4" w:space="0"/>
              <w:bottom w:val="single" w:color="auto" w:sz="4" w:space="0"/>
            </w:tcBorders>
            <w:vAlign w:val="bottom"/>
          </w:tcPr>
          <w:p>
            <w:pPr>
              <w:jc w:val="right"/>
              <w:rPr>
                <w:rFonts w:ascii="宋体" w:hAnsi="宋体" w:cs="宋体"/>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1001" w:type="pct"/>
            <w:tcBorders>
              <w:top w:val="single" w:color="auto" w:sz="4" w:space="0"/>
              <w:right w:val="single" w:color="auto" w:sz="4" w:space="0"/>
            </w:tcBorders>
            <w:vAlign w:val="bottom"/>
          </w:tcPr>
          <w:p>
            <w:pPr>
              <w:rPr>
                <w:rFonts w:ascii="宋体" w:hAnsi="宋体"/>
                <w:color w:val="auto"/>
                <w:sz w:val="18"/>
                <w:szCs w:val="18"/>
              </w:rPr>
            </w:pPr>
            <w:r>
              <w:rPr>
                <w:rFonts w:ascii="宋体" w:hAnsi="宋体"/>
                <w:color w:val="auto"/>
                <w:sz w:val="18"/>
                <w:szCs w:val="18"/>
              </w:rPr>
              <w:t>2022年12月31日余额</w:t>
            </w:r>
          </w:p>
        </w:tc>
        <w:tc>
          <w:tcPr>
            <w:tcW w:w="862" w:type="pct"/>
            <w:tcBorders>
              <w:top w:val="single" w:color="auto" w:sz="4" w:space="0"/>
              <w:left w:val="single" w:color="auto" w:sz="4" w:space="0"/>
              <w:righ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1,323,934.54</w:t>
            </w:r>
          </w:p>
        </w:tc>
        <w:tc>
          <w:tcPr>
            <w:tcW w:w="1097" w:type="pct"/>
            <w:tcBorders>
              <w:top w:val="single" w:color="auto" w:sz="4" w:space="0"/>
              <w:left w:val="single" w:color="auto" w:sz="4" w:space="0"/>
              <w:right w:val="single" w:color="auto" w:sz="4" w:space="0"/>
            </w:tcBorders>
            <w:vAlign w:val="bottom"/>
          </w:tcPr>
          <w:p>
            <w:pPr>
              <w:jc w:val="right"/>
              <w:rPr>
                <w:rFonts w:ascii="宋体" w:hAnsi="宋体" w:cs="宋体"/>
                <w:color w:val="auto"/>
                <w:sz w:val="18"/>
                <w:szCs w:val="18"/>
              </w:rPr>
            </w:pPr>
          </w:p>
        </w:tc>
        <w:tc>
          <w:tcPr>
            <w:tcW w:w="1097" w:type="pct"/>
            <w:tcBorders>
              <w:top w:val="single" w:color="auto" w:sz="4" w:space="0"/>
              <w:left w:val="single" w:color="auto" w:sz="4" w:space="0"/>
              <w:right w:val="single" w:color="auto" w:sz="4" w:space="0"/>
            </w:tcBorders>
            <w:vAlign w:val="bottom"/>
          </w:tcPr>
          <w:p>
            <w:pPr>
              <w:jc w:val="right"/>
              <w:rPr>
                <w:rFonts w:ascii="宋体" w:hAnsi="宋体" w:cs="宋体"/>
                <w:color w:val="auto"/>
                <w:sz w:val="18"/>
                <w:szCs w:val="18"/>
              </w:rPr>
            </w:pPr>
          </w:p>
        </w:tc>
        <w:tc>
          <w:tcPr>
            <w:tcW w:w="943" w:type="pct"/>
            <w:tcBorders>
              <w:top w:val="single" w:color="auto" w:sz="4" w:space="0"/>
              <w:left w:val="single" w:color="auto" w:sz="4" w:space="0"/>
            </w:tcBorders>
            <w:vAlign w:val="bottom"/>
          </w:tcPr>
          <w:p>
            <w:pPr>
              <w:jc w:val="right"/>
              <w:rPr>
                <w:rFonts w:ascii="宋体" w:hAnsi="宋体" w:cs="宋体"/>
                <w:color w:val="auto"/>
                <w:sz w:val="18"/>
                <w:szCs w:val="18"/>
              </w:rPr>
            </w:pPr>
            <w:r>
              <w:rPr>
                <w:rFonts w:ascii="宋体" w:hAnsi="宋体"/>
                <w:color w:val="auto"/>
                <w:sz w:val="18"/>
                <w:szCs w:val="18"/>
              </w:rPr>
              <w:t>1,323,934.54</w:t>
            </w:r>
          </w:p>
        </w:tc>
      </w:tr>
    </w:tbl>
    <w:p>
      <w:pPr>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④</w:t>
      </w:r>
      <w:r>
        <w:rPr>
          <w:rFonts w:ascii="宋体" w:hAnsi="宋体"/>
          <w:bCs/>
          <w:color w:val="auto"/>
          <w:szCs w:val="21"/>
        </w:rPr>
        <w:t>本期计提、收回或转回的坏账准备情况</w:t>
      </w:r>
      <w:r>
        <w:rPr>
          <w:rFonts w:hint="eastAsia" w:ascii="宋体" w:hAnsi="宋体"/>
          <w:bCs/>
          <w:color w:val="auto"/>
          <w:szCs w:val="21"/>
        </w:rPr>
        <w:t>：</w:t>
      </w:r>
    </w:p>
    <w:tbl>
      <w:tblPr>
        <w:tblStyle w:val="9"/>
        <w:tblW w:w="5000" w:type="pct"/>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28" w:type="dxa"/>
          <w:bottom w:w="0" w:type="dxa"/>
          <w:right w:w="28" w:type="dxa"/>
        </w:tblCellMar>
      </w:tblPr>
      <w:tblGrid>
        <w:gridCol w:w="1868"/>
        <w:gridCol w:w="1723"/>
        <w:gridCol w:w="1437"/>
        <w:gridCol w:w="1435"/>
        <w:gridCol w:w="1615"/>
        <w:gridCol w:w="1615"/>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964" w:type="pct"/>
            <w:vMerge w:val="restart"/>
            <w:tcBorders>
              <w:top w:val="single" w:color="auto" w:sz="12" w:space="0"/>
              <w:bottom w:val="single" w:color="auto" w:sz="8" w:space="0"/>
              <w:right w:val="single" w:color="auto" w:sz="4" w:space="0"/>
            </w:tcBorders>
            <w:vAlign w:val="center"/>
          </w:tcPr>
          <w:p>
            <w:pPr>
              <w:jc w:val="center"/>
              <w:rPr>
                <w:b/>
                <w:color w:val="auto"/>
                <w:sz w:val="18"/>
                <w:szCs w:val="18"/>
                <w:shd w:val="clear" w:color="auto" w:fill="FFFFFF"/>
              </w:rPr>
            </w:pPr>
            <w:r>
              <w:rPr>
                <w:rFonts w:hint="eastAsia" w:ascii="宋体"/>
                <w:b/>
                <w:bCs/>
                <w:color w:val="auto"/>
                <w:sz w:val="18"/>
                <w:szCs w:val="18"/>
              </w:rPr>
              <w:t>类别</w:t>
            </w:r>
          </w:p>
        </w:tc>
        <w:tc>
          <w:tcPr>
            <w:tcW w:w="889" w:type="pct"/>
            <w:vMerge w:val="restart"/>
            <w:tcBorders>
              <w:top w:val="single" w:color="auto" w:sz="12" w:space="0"/>
              <w:left w:val="single" w:color="auto" w:sz="4" w:space="0"/>
              <w:bottom w:val="single" w:color="auto" w:sz="8" w:space="0"/>
              <w:right w:val="single" w:color="auto" w:sz="4" w:space="0"/>
            </w:tcBorders>
            <w:vAlign w:val="center"/>
          </w:tcPr>
          <w:p>
            <w:pPr>
              <w:jc w:val="center"/>
              <w:rPr>
                <w:b/>
                <w:color w:val="auto"/>
                <w:sz w:val="18"/>
                <w:szCs w:val="18"/>
                <w:shd w:val="clear" w:color="auto" w:fill="FFFFFF"/>
              </w:rPr>
            </w:pPr>
            <w:r>
              <w:rPr>
                <w:rFonts w:hint="eastAsia" w:ascii="宋体"/>
                <w:b/>
                <w:bCs/>
                <w:color w:val="auto"/>
                <w:sz w:val="18"/>
                <w:szCs w:val="18"/>
              </w:rPr>
              <w:t>期初余额</w:t>
            </w:r>
          </w:p>
        </w:tc>
        <w:tc>
          <w:tcPr>
            <w:tcW w:w="2314" w:type="pct"/>
            <w:gridSpan w:val="3"/>
            <w:tcBorders>
              <w:top w:val="single" w:color="auto" w:sz="12" w:space="0"/>
              <w:left w:val="single" w:color="auto" w:sz="4" w:space="0"/>
              <w:bottom w:val="single" w:color="auto" w:sz="4" w:space="0"/>
              <w:right w:val="single" w:color="auto" w:sz="4" w:space="0"/>
            </w:tcBorders>
            <w:vAlign w:val="center"/>
          </w:tcPr>
          <w:p>
            <w:pPr>
              <w:jc w:val="center"/>
              <w:rPr>
                <w:rFonts w:ascii="宋体"/>
                <w:b/>
                <w:bCs/>
                <w:color w:val="auto"/>
                <w:sz w:val="18"/>
                <w:szCs w:val="18"/>
              </w:rPr>
            </w:pPr>
            <w:r>
              <w:rPr>
                <w:rFonts w:hint="eastAsia" w:ascii="宋体"/>
                <w:b/>
                <w:bCs/>
                <w:color w:val="auto"/>
                <w:sz w:val="18"/>
                <w:szCs w:val="18"/>
              </w:rPr>
              <w:t>本期变动金额</w:t>
            </w:r>
          </w:p>
        </w:tc>
        <w:tc>
          <w:tcPr>
            <w:tcW w:w="833" w:type="pct"/>
            <w:vMerge w:val="restart"/>
            <w:tcBorders>
              <w:top w:val="single" w:color="auto" w:sz="12" w:space="0"/>
              <w:left w:val="single" w:color="auto" w:sz="4" w:space="0"/>
              <w:bottom w:val="single" w:color="auto" w:sz="8" w:space="0"/>
            </w:tcBorders>
            <w:vAlign w:val="center"/>
          </w:tcPr>
          <w:p>
            <w:pPr>
              <w:jc w:val="center"/>
              <w:rPr>
                <w:b/>
                <w:color w:val="auto"/>
                <w:sz w:val="18"/>
                <w:szCs w:val="18"/>
                <w:shd w:val="clear" w:color="auto" w:fill="FFFFFF"/>
              </w:rPr>
            </w:pPr>
            <w:r>
              <w:rPr>
                <w:rFonts w:hint="eastAsia" w:ascii="宋体"/>
                <w:b/>
                <w:bCs/>
                <w:color w:val="auto"/>
                <w:sz w:val="18"/>
                <w:szCs w:val="18"/>
              </w:rPr>
              <w:t>期末余额</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964" w:type="pct"/>
            <w:vMerge w:val="continue"/>
            <w:tcBorders>
              <w:top w:val="single" w:color="auto" w:sz="8" w:space="0"/>
              <w:bottom w:val="single" w:color="auto" w:sz="12" w:space="0"/>
              <w:right w:val="single" w:color="auto" w:sz="4" w:space="0"/>
            </w:tcBorders>
            <w:vAlign w:val="center"/>
          </w:tcPr>
          <w:p>
            <w:pPr>
              <w:jc w:val="center"/>
              <w:rPr>
                <w:b/>
                <w:color w:val="auto"/>
                <w:sz w:val="18"/>
                <w:szCs w:val="18"/>
                <w:shd w:val="clear" w:color="auto" w:fill="FFFFFF"/>
              </w:rPr>
            </w:pPr>
          </w:p>
        </w:tc>
        <w:tc>
          <w:tcPr>
            <w:tcW w:w="889" w:type="pct"/>
            <w:vMerge w:val="continue"/>
            <w:tcBorders>
              <w:top w:val="single" w:color="auto" w:sz="8" w:space="0"/>
              <w:left w:val="single" w:color="auto" w:sz="4" w:space="0"/>
              <w:bottom w:val="single" w:color="auto" w:sz="12" w:space="0"/>
              <w:right w:val="single" w:color="auto" w:sz="4" w:space="0"/>
            </w:tcBorders>
            <w:vAlign w:val="center"/>
          </w:tcPr>
          <w:p>
            <w:pPr>
              <w:jc w:val="center"/>
              <w:rPr>
                <w:b/>
                <w:color w:val="auto"/>
                <w:sz w:val="18"/>
                <w:szCs w:val="18"/>
                <w:shd w:val="clear" w:color="auto" w:fill="FFFFFF"/>
              </w:rPr>
            </w:pPr>
          </w:p>
        </w:tc>
        <w:tc>
          <w:tcPr>
            <w:tcW w:w="741" w:type="pct"/>
            <w:tcBorders>
              <w:top w:val="single" w:color="auto" w:sz="4" w:space="0"/>
              <w:left w:val="single" w:color="auto" w:sz="4" w:space="0"/>
              <w:bottom w:val="single" w:color="auto" w:sz="12" w:space="0"/>
              <w:right w:val="single" w:color="auto" w:sz="4" w:space="0"/>
            </w:tcBorders>
            <w:vAlign w:val="center"/>
          </w:tcPr>
          <w:p>
            <w:pPr>
              <w:jc w:val="center"/>
              <w:rPr>
                <w:rFonts w:ascii="宋体"/>
                <w:b/>
                <w:bCs/>
                <w:color w:val="auto"/>
                <w:sz w:val="18"/>
                <w:szCs w:val="18"/>
              </w:rPr>
            </w:pPr>
            <w:r>
              <w:rPr>
                <w:rFonts w:hint="eastAsia" w:ascii="宋体"/>
                <w:b/>
                <w:bCs/>
                <w:color w:val="auto"/>
                <w:sz w:val="18"/>
                <w:szCs w:val="18"/>
              </w:rPr>
              <w:t>计提</w:t>
            </w:r>
          </w:p>
        </w:tc>
        <w:tc>
          <w:tcPr>
            <w:tcW w:w="740" w:type="pct"/>
            <w:tcBorders>
              <w:top w:val="single" w:color="auto" w:sz="4" w:space="0"/>
              <w:left w:val="single" w:color="auto" w:sz="4" w:space="0"/>
              <w:bottom w:val="single" w:color="auto" w:sz="12" w:space="0"/>
              <w:right w:val="single" w:color="auto" w:sz="4" w:space="0"/>
            </w:tcBorders>
            <w:vAlign w:val="center"/>
          </w:tcPr>
          <w:p>
            <w:pPr>
              <w:jc w:val="center"/>
              <w:rPr>
                <w:rFonts w:ascii="宋体"/>
                <w:b/>
                <w:bCs/>
                <w:color w:val="auto"/>
                <w:sz w:val="18"/>
                <w:szCs w:val="18"/>
              </w:rPr>
            </w:pPr>
            <w:r>
              <w:rPr>
                <w:rFonts w:hint="eastAsia" w:ascii="宋体"/>
                <w:b/>
                <w:bCs/>
                <w:color w:val="auto"/>
                <w:sz w:val="18"/>
                <w:szCs w:val="18"/>
              </w:rPr>
              <w:t>收回或转回</w:t>
            </w:r>
          </w:p>
        </w:tc>
        <w:tc>
          <w:tcPr>
            <w:tcW w:w="833" w:type="pct"/>
            <w:tcBorders>
              <w:top w:val="single" w:color="auto" w:sz="4" w:space="0"/>
              <w:left w:val="single" w:color="auto" w:sz="4" w:space="0"/>
              <w:bottom w:val="single" w:color="auto" w:sz="12" w:space="0"/>
              <w:right w:val="single" w:color="auto" w:sz="4" w:space="0"/>
            </w:tcBorders>
            <w:vAlign w:val="center"/>
          </w:tcPr>
          <w:p>
            <w:pPr>
              <w:jc w:val="center"/>
              <w:rPr>
                <w:rFonts w:ascii="宋体"/>
                <w:b/>
                <w:bCs/>
                <w:color w:val="auto"/>
                <w:sz w:val="18"/>
                <w:szCs w:val="18"/>
              </w:rPr>
            </w:pPr>
            <w:r>
              <w:rPr>
                <w:rFonts w:hint="eastAsia" w:ascii="宋体"/>
                <w:b/>
                <w:bCs/>
                <w:color w:val="auto"/>
                <w:sz w:val="18"/>
                <w:szCs w:val="18"/>
              </w:rPr>
              <w:t>核销</w:t>
            </w:r>
          </w:p>
        </w:tc>
        <w:tc>
          <w:tcPr>
            <w:tcW w:w="833" w:type="pct"/>
            <w:vMerge w:val="continue"/>
            <w:tcBorders>
              <w:top w:val="single" w:color="auto" w:sz="8" w:space="0"/>
              <w:left w:val="single" w:color="auto" w:sz="4" w:space="0"/>
              <w:bottom w:val="single" w:color="auto" w:sz="12" w:space="0"/>
            </w:tcBorders>
            <w:vAlign w:val="center"/>
          </w:tcPr>
          <w:p>
            <w:pPr>
              <w:jc w:val="center"/>
              <w:rPr>
                <w:color w:val="auto"/>
                <w:sz w:val="18"/>
                <w:szCs w:val="18"/>
                <w:shd w:val="clear" w:color="auto" w:fill="FFFFFF"/>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964" w:type="pct"/>
            <w:tcBorders>
              <w:top w:val="single" w:color="auto" w:sz="12" w:space="0"/>
              <w:bottom w:val="single" w:color="auto" w:sz="4" w:space="0"/>
              <w:right w:val="single" w:color="auto" w:sz="4" w:space="0"/>
            </w:tcBorders>
            <w:vAlign w:val="bottom"/>
          </w:tcPr>
          <w:p>
            <w:pPr>
              <w:rPr>
                <w:color w:val="auto"/>
                <w:sz w:val="18"/>
                <w:szCs w:val="18"/>
                <w:shd w:val="clear" w:color="auto" w:fill="FFFFFF"/>
              </w:rPr>
            </w:pPr>
            <w:r>
              <w:rPr>
                <w:rFonts w:hint="eastAsia"/>
                <w:color w:val="auto"/>
                <w:sz w:val="18"/>
                <w:szCs w:val="18"/>
              </w:rPr>
              <w:t>按单项计提坏账准备</w:t>
            </w:r>
          </w:p>
        </w:tc>
        <w:tc>
          <w:tcPr>
            <w:tcW w:w="889"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741"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740"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833" w:type="pct"/>
            <w:tcBorders>
              <w:top w:val="single" w:color="auto" w:sz="12" w:space="0"/>
              <w:left w:val="single" w:color="auto" w:sz="4" w:space="0"/>
              <w:bottom w:val="single" w:color="auto" w:sz="4" w:space="0"/>
              <w:right w:val="single" w:color="auto" w:sz="4" w:space="0"/>
            </w:tcBorders>
            <w:vAlign w:val="bottom"/>
          </w:tcPr>
          <w:p>
            <w:pPr>
              <w:jc w:val="right"/>
              <w:rPr>
                <w:rFonts w:ascii="宋体" w:hAnsi="宋体" w:cs="宋体"/>
                <w:color w:val="auto"/>
                <w:sz w:val="18"/>
                <w:szCs w:val="18"/>
              </w:rPr>
            </w:pPr>
          </w:p>
        </w:tc>
        <w:tc>
          <w:tcPr>
            <w:tcW w:w="833" w:type="pct"/>
            <w:tcBorders>
              <w:top w:val="single" w:color="auto" w:sz="12" w:space="0"/>
              <w:left w:val="single" w:color="auto" w:sz="4" w:space="0"/>
              <w:bottom w:val="single" w:color="auto" w:sz="4" w:space="0"/>
            </w:tcBorders>
            <w:vAlign w:val="bottom"/>
          </w:tcPr>
          <w:p>
            <w:pPr>
              <w:jc w:val="right"/>
              <w:rPr>
                <w:rFonts w:ascii="宋体" w:hAnsi="宋体" w:cs="宋体"/>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964" w:type="pct"/>
            <w:tcBorders>
              <w:top w:val="single" w:color="auto" w:sz="4" w:space="0"/>
              <w:bottom w:val="single" w:color="auto" w:sz="12" w:space="0"/>
              <w:right w:val="single" w:color="auto" w:sz="4" w:space="0"/>
            </w:tcBorders>
            <w:vAlign w:val="bottom"/>
          </w:tcPr>
          <w:p>
            <w:pPr>
              <w:rPr>
                <w:color w:val="auto"/>
                <w:sz w:val="18"/>
                <w:szCs w:val="18"/>
                <w:shd w:val="clear" w:color="auto" w:fill="FFFFFF"/>
              </w:rPr>
            </w:pPr>
            <w:r>
              <w:rPr>
                <w:rFonts w:hint="eastAsia"/>
                <w:color w:val="auto"/>
                <w:sz w:val="18"/>
                <w:szCs w:val="18"/>
              </w:rPr>
              <w:t>按组合计提坏账准备</w:t>
            </w:r>
          </w:p>
        </w:tc>
        <w:tc>
          <w:tcPr>
            <w:tcW w:w="889" w:type="pct"/>
            <w:tcBorders>
              <w:top w:val="single" w:color="auto" w:sz="4" w:space="0"/>
              <w:left w:val="single" w:color="auto" w:sz="4" w:space="0"/>
              <w:bottom w:val="single" w:color="auto" w:sz="12" w:space="0"/>
              <w:right w:val="single" w:color="auto" w:sz="4" w:space="0"/>
            </w:tcBorders>
            <w:vAlign w:val="bottom"/>
          </w:tcPr>
          <w:p>
            <w:pPr>
              <w:jc w:val="right"/>
              <w:rPr>
                <w:rFonts w:cs="宋体" w:asciiTheme="majorEastAsia" w:hAnsiTheme="majorEastAsia" w:eastAsiaTheme="majorEastAsia"/>
                <w:color w:val="auto"/>
                <w:sz w:val="18"/>
                <w:szCs w:val="18"/>
              </w:rPr>
            </w:pPr>
            <w:r>
              <w:rPr>
                <w:rFonts w:asciiTheme="minorEastAsia" w:hAnsiTheme="minorEastAsia" w:eastAsiaTheme="minorEastAsia"/>
                <w:color w:val="auto"/>
                <w:sz w:val="18"/>
                <w:szCs w:val="18"/>
              </w:rPr>
              <w:t>1,519,192.78</w:t>
            </w:r>
          </w:p>
        </w:tc>
        <w:tc>
          <w:tcPr>
            <w:tcW w:w="741" w:type="pct"/>
            <w:tcBorders>
              <w:top w:val="single" w:color="auto" w:sz="4"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color w:val="auto"/>
                <w:sz w:val="18"/>
                <w:szCs w:val="18"/>
              </w:rPr>
            </w:pPr>
          </w:p>
        </w:tc>
        <w:tc>
          <w:tcPr>
            <w:tcW w:w="740" w:type="pct"/>
            <w:tcBorders>
              <w:top w:val="single" w:color="auto" w:sz="4"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olor w:val="auto"/>
                <w:sz w:val="18"/>
                <w:szCs w:val="18"/>
              </w:rPr>
              <w:t>195,258.24</w:t>
            </w:r>
          </w:p>
        </w:tc>
        <w:tc>
          <w:tcPr>
            <w:tcW w:w="833" w:type="pct"/>
            <w:tcBorders>
              <w:top w:val="single" w:color="auto" w:sz="4"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833" w:type="pct"/>
            <w:tcBorders>
              <w:top w:val="single" w:color="auto" w:sz="4" w:space="0"/>
              <w:left w:val="single" w:color="auto" w:sz="4" w:space="0"/>
              <w:bottom w:val="single" w:color="auto" w:sz="12" w:space="0"/>
            </w:tcBorders>
            <w:vAlign w:val="bottom"/>
          </w:tcPr>
          <w:p>
            <w:pPr>
              <w:jc w:val="right"/>
              <w:rPr>
                <w:rFonts w:cs="宋体" w:asciiTheme="minorEastAsia" w:hAnsiTheme="minorEastAsia" w:eastAsiaTheme="minorEastAsia"/>
                <w:color w:val="auto"/>
                <w:sz w:val="18"/>
                <w:szCs w:val="18"/>
              </w:rPr>
            </w:pPr>
            <w:r>
              <w:rPr>
                <w:rFonts w:ascii="宋体" w:hAnsi="宋体"/>
                <w:color w:val="auto"/>
                <w:sz w:val="18"/>
                <w:szCs w:val="18"/>
              </w:rPr>
              <w:t>1,323,934.54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454" w:hRule="atLeast"/>
        </w:trPr>
        <w:tc>
          <w:tcPr>
            <w:tcW w:w="964" w:type="pct"/>
            <w:tcBorders>
              <w:top w:val="single" w:color="auto" w:sz="12" w:space="0"/>
              <w:bottom w:val="single" w:color="auto" w:sz="12" w:space="0"/>
              <w:right w:val="single" w:color="auto" w:sz="4" w:space="0"/>
            </w:tcBorders>
            <w:vAlign w:val="bottom"/>
          </w:tcPr>
          <w:p>
            <w:pPr>
              <w:jc w:val="center"/>
              <w:rPr>
                <w:b/>
                <w:color w:val="auto"/>
                <w:sz w:val="18"/>
                <w:szCs w:val="18"/>
                <w:shd w:val="clear" w:color="auto" w:fill="FFFFFF"/>
              </w:rPr>
            </w:pPr>
            <w:r>
              <w:rPr>
                <w:rFonts w:hint="eastAsia" w:ascii="宋体"/>
                <w:b/>
                <w:bCs/>
                <w:color w:val="auto"/>
                <w:sz w:val="18"/>
                <w:szCs w:val="18"/>
              </w:rPr>
              <w:t>合计</w:t>
            </w:r>
          </w:p>
        </w:tc>
        <w:tc>
          <w:tcPr>
            <w:tcW w:w="889"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ajorEastAsia" w:hAnsiTheme="majorEastAsia" w:eastAsiaTheme="majorEastAsia"/>
                <w:b/>
                <w:bCs/>
                <w:color w:val="auto"/>
                <w:sz w:val="18"/>
                <w:szCs w:val="18"/>
              </w:rPr>
            </w:pPr>
            <w:r>
              <w:rPr>
                <w:rFonts w:asciiTheme="minorEastAsia" w:hAnsiTheme="minorEastAsia" w:eastAsiaTheme="minorEastAsia"/>
                <w:b/>
                <w:bCs/>
                <w:color w:val="auto"/>
                <w:sz w:val="18"/>
                <w:szCs w:val="18"/>
              </w:rPr>
              <w:t>1,519,192.78</w:t>
            </w:r>
          </w:p>
        </w:tc>
        <w:tc>
          <w:tcPr>
            <w:tcW w:w="741"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p>
        </w:tc>
        <w:tc>
          <w:tcPr>
            <w:tcW w:w="740"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ascii="宋体" w:hAnsi="宋体"/>
                <w:b/>
                <w:bCs/>
                <w:color w:val="auto"/>
                <w:sz w:val="18"/>
                <w:szCs w:val="18"/>
              </w:rPr>
              <w:t>195,258.24</w:t>
            </w:r>
          </w:p>
        </w:tc>
        <w:tc>
          <w:tcPr>
            <w:tcW w:w="833" w:type="pct"/>
            <w:tcBorders>
              <w:top w:val="single" w:color="auto" w:sz="12" w:space="0"/>
              <w:left w:val="single" w:color="auto" w:sz="4" w:space="0"/>
              <w:bottom w:val="single" w:color="auto" w:sz="12" w:space="0"/>
              <w:right w:val="single" w:color="auto" w:sz="4"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w:t>
            </w:r>
          </w:p>
        </w:tc>
        <w:tc>
          <w:tcPr>
            <w:tcW w:w="833" w:type="pct"/>
            <w:tcBorders>
              <w:top w:val="single" w:color="auto" w:sz="12" w:space="0"/>
              <w:left w:val="single" w:color="auto" w:sz="4"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ascii="宋体" w:hAnsi="宋体"/>
                <w:b/>
                <w:bCs/>
                <w:color w:val="auto"/>
                <w:sz w:val="18"/>
                <w:szCs w:val="18"/>
              </w:rPr>
              <w:t>1,323,934.54</w:t>
            </w:r>
          </w:p>
        </w:tc>
      </w:tr>
    </w:tbl>
    <w:p>
      <w:pPr>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⑤本期无转回或收回金额重要的坏账准备。</w:t>
      </w:r>
    </w:p>
    <w:p>
      <w:pPr>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⑥本期无实际核销的其他应收款情况。</w:t>
      </w:r>
    </w:p>
    <w:p>
      <w:pPr>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⑦按欠款方归集的期末余额前五名的其他应收款情况：</w:t>
      </w:r>
    </w:p>
    <w:tbl>
      <w:tblPr>
        <w:tblStyle w:val="9"/>
        <w:tblW w:w="5000" w:type="pct"/>
        <w:tblCaption w:val="&quot;\\lisheng\共享\1、伟隆2022年度审计\1、2022年度审计\1、附注及报告\2022年\附注计算-伟隆 - 2022.xlsx&quot; &quot;2022附注格式!_ReportTable_0120&quot;"/>
        <w:tblDescription w:val="A1078:F1084"/>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436"/>
        <w:gridCol w:w="1370"/>
        <w:gridCol w:w="1673"/>
        <w:gridCol w:w="1247"/>
        <w:gridCol w:w="1582"/>
        <w:gridCol w:w="15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6" w:type="pct"/>
            <w:tcBorders>
              <w:top w:val="single" w:color="auto" w:sz="12" w:space="0"/>
              <w:bottom w:val="single" w:color="auto" w:sz="12" w:space="0"/>
            </w:tcBorders>
            <w:vAlign w:val="center"/>
          </w:tcPr>
          <w:p>
            <w:pPr>
              <w:spacing w:line="360" w:lineRule="auto"/>
              <w:jc w:val="center"/>
              <w:rPr>
                <w:b/>
                <w:color w:val="auto"/>
                <w:kern w:val="0"/>
                <w:sz w:val="18"/>
                <w:szCs w:val="18"/>
              </w:rPr>
            </w:pPr>
            <w:r>
              <w:rPr>
                <w:rFonts w:hint="eastAsia"/>
                <w:b/>
                <w:color w:val="auto"/>
                <w:sz w:val="18"/>
                <w:szCs w:val="18"/>
              </w:rPr>
              <w:t>单位名称</w:t>
            </w:r>
          </w:p>
        </w:tc>
        <w:tc>
          <w:tcPr>
            <w:tcW w:w="695" w:type="pct"/>
            <w:tcBorders>
              <w:top w:val="single" w:color="auto" w:sz="12" w:space="0"/>
              <w:bottom w:val="single" w:color="auto" w:sz="12" w:space="0"/>
            </w:tcBorders>
            <w:vAlign w:val="center"/>
          </w:tcPr>
          <w:p>
            <w:pPr>
              <w:spacing w:line="360" w:lineRule="auto"/>
              <w:jc w:val="center"/>
              <w:rPr>
                <w:b/>
                <w:color w:val="auto"/>
                <w:kern w:val="0"/>
                <w:sz w:val="18"/>
                <w:szCs w:val="18"/>
              </w:rPr>
            </w:pPr>
            <w:r>
              <w:rPr>
                <w:rFonts w:hint="eastAsia"/>
                <w:b/>
                <w:color w:val="auto"/>
                <w:sz w:val="18"/>
                <w:szCs w:val="18"/>
              </w:rPr>
              <w:t>款项性质</w:t>
            </w:r>
          </w:p>
        </w:tc>
        <w:tc>
          <w:tcPr>
            <w:tcW w:w="849" w:type="pct"/>
            <w:tcBorders>
              <w:top w:val="single" w:color="auto" w:sz="12" w:space="0"/>
              <w:bottom w:val="single" w:color="auto" w:sz="12" w:space="0"/>
            </w:tcBorders>
            <w:vAlign w:val="center"/>
          </w:tcPr>
          <w:p>
            <w:pPr>
              <w:spacing w:line="360" w:lineRule="auto"/>
              <w:jc w:val="center"/>
              <w:rPr>
                <w:b/>
                <w:color w:val="auto"/>
                <w:kern w:val="0"/>
                <w:sz w:val="18"/>
                <w:szCs w:val="18"/>
              </w:rPr>
            </w:pPr>
            <w:r>
              <w:rPr>
                <w:rFonts w:hint="eastAsia"/>
                <w:b/>
                <w:color w:val="auto"/>
                <w:sz w:val="18"/>
                <w:szCs w:val="18"/>
              </w:rPr>
              <w:t>期末余额</w:t>
            </w:r>
          </w:p>
        </w:tc>
        <w:tc>
          <w:tcPr>
            <w:tcW w:w="633" w:type="pct"/>
            <w:tcBorders>
              <w:top w:val="single" w:color="auto" w:sz="12" w:space="0"/>
              <w:bottom w:val="single" w:color="auto" w:sz="12" w:space="0"/>
            </w:tcBorders>
            <w:vAlign w:val="center"/>
          </w:tcPr>
          <w:p>
            <w:pPr>
              <w:spacing w:line="360" w:lineRule="auto"/>
              <w:jc w:val="center"/>
              <w:rPr>
                <w:b/>
                <w:color w:val="auto"/>
                <w:kern w:val="0"/>
                <w:sz w:val="18"/>
                <w:szCs w:val="18"/>
              </w:rPr>
            </w:pPr>
            <w:r>
              <w:rPr>
                <w:rFonts w:hint="eastAsia"/>
                <w:b/>
                <w:color w:val="auto"/>
                <w:sz w:val="18"/>
                <w:szCs w:val="18"/>
              </w:rPr>
              <w:t>账龄</w:t>
            </w:r>
          </w:p>
        </w:tc>
        <w:tc>
          <w:tcPr>
            <w:tcW w:w="803" w:type="pct"/>
            <w:tcBorders>
              <w:top w:val="single" w:color="auto" w:sz="12" w:space="0"/>
              <w:bottom w:val="single" w:color="auto" w:sz="12" w:space="0"/>
            </w:tcBorders>
            <w:vAlign w:val="center"/>
          </w:tcPr>
          <w:p>
            <w:pPr>
              <w:jc w:val="center"/>
              <w:rPr>
                <w:rFonts w:asciiTheme="minorEastAsia" w:hAnsiTheme="minorEastAsia" w:eastAsiaTheme="minorEastAsia"/>
                <w:b/>
                <w:color w:val="auto"/>
                <w:kern w:val="0"/>
                <w:sz w:val="18"/>
                <w:szCs w:val="18"/>
              </w:rPr>
            </w:pPr>
            <w:r>
              <w:rPr>
                <w:rFonts w:hint="eastAsia" w:asciiTheme="minorEastAsia" w:hAnsiTheme="minorEastAsia" w:eastAsiaTheme="minorEastAsia"/>
                <w:b/>
                <w:color w:val="auto"/>
                <w:sz w:val="18"/>
                <w:szCs w:val="18"/>
              </w:rPr>
              <w:t>占其他应收款期末余额合计数的比例（</w:t>
            </w:r>
            <w:r>
              <w:rPr>
                <w:rFonts w:hint="eastAsia" w:ascii="宋体" w:hAnsi="宋体"/>
                <w:b/>
                <w:color w:val="auto"/>
                <w:sz w:val="18"/>
                <w:szCs w:val="18"/>
              </w:rPr>
              <w:t>%</w:t>
            </w:r>
            <w:r>
              <w:rPr>
                <w:rFonts w:hint="eastAsia" w:asciiTheme="minorEastAsia" w:hAnsiTheme="minorEastAsia" w:eastAsiaTheme="minorEastAsia"/>
                <w:b/>
                <w:color w:val="auto"/>
                <w:sz w:val="18"/>
                <w:szCs w:val="18"/>
              </w:rPr>
              <w:t>）</w:t>
            </w:r>
          </w:p>
        </w:tc>
        <w:tc>
          <w:tcPr>
            <w:tcW w:w="784" w:type="pct"/>
            <w:tcBorders>
              <w:top w:val="single" w:color="auto" w:sz="12" w:space="0"/>
              <w:bottom w:val="single" w:color="auto" w:sz="12" w:space="0"/>
            </w:tcBorders>
            <w:vAlign w:val="center"/>
          </w:tcPr>
          <w:p>
            <w:pPr>
              <w:jc w:val="center"/>
              <w:rPr>
                <w:b/>
                <w:color w:val="auto"/>
                <w:sz w:val="18"/>
                <w:szCs w:val="18"/>
              </w:rPr>
            </w:pPr>
            <w:r>
              <w:rPr>
                <w:rFonts w:hint="eastAsia"/>
                <w:b/>
                <w:color w:val="auto"/>
                <w:sz w:val="18"/>
                <w:szCs w:val="18"/>
              </w:rPr>
              <w:t>坏账准备期末余额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6" w:type="pct"/>
            <w:tcBorders>
              <w:top w:val="single" w:color="auto" w:sz="12" w:space="0"/>
            </w:tcBorders>
            <w:vAlign w:val="bottom"/>
          </w:tcPr>
          <w:p>
            <w:pPr>
              <w:rPr>
                <w:rFonts w:ascii="宋体" w:hAnsi="宋体" w:cs="宋体"/>
                <w:color w:val="auto"/>
                <w:sz w:val="18"/>
                <w:szCs w:val="18"/>
              </w:rPr>
            </w:pPr>
            <w:r>
              <w:rPr>
                <w:rFonts w:cs="宋体" w:asciiTheme="majorEastAsia" w:hAnsiTheme="majorEastAsia" w:eastAsiaTheme="majorEastAsia"/>
                <w:color w:val="auto"/>
                <w:sz w:val="18"/>
                <w:szCs w:val="18"/>
              </w:rPr>
              <w:t>客户一</w:t>
            </w:r>
          </w:p>
        </w:tc>
        <w:tc>
          <w:tcPr>
            <w:tcW w:w="695" w:type="pct"/>
            <w:tcBorders>
              <w:top w:val="single" w:color="auto" w:sz="12" w:space="0"/>
            </w:tcBorders>
            <w:vAlign w:val="bottom"/>
          </w:tcPr>
          <w:p>
            <w:pPr>
              <w:jc w:val="center"/>
              <w:rPr>
                <w:rFonts w:ascii="宋体" w:hAnsi="宋体" w:cs="宋体"/>
                <w:color w:val="auto"/>
                <w:sz w:val="18"/>
                <w:szCs w:val="18"/>
              </w:rPr>
            </w:pPr>
            <w:r>
              <w:rPr>
                <w:rFonts w:hint="eastAsia"/>
                <w:color w:val="auto"/>
                <w:sz w:val="18"/>
                <w:szCs w:val="18"/>
              </w:rPr>
              <w:t>单位往来及其他</w:t>
            </w:r>
          </w:p>
        </w:tc>
        <w:tc>
          <w:tcPr>
            <w:tcW w:w="849" w:type="pct"/>
            <w:tcBorders>
              <w:top w:val="single" w:color="auto" w:sz="12"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20,300,215.53</w:t>
            </w:r>
          </w:p>
        </w:tc>
        <w:tc>
          <w:tcPr>
            <w:tcW w:w="633" w:type="pct"/>
            <w:tcBorders>
              <w:top w:val="single" w:color="auto" w:sz="12"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1年以内、1-2年</w:t>
            </w:r>
          </w:p>
        </w:tc>
        <w:tc>
          <w:tcPr>
            <w:tcW w:w="803" w:type="pct"/>
            <w:tcBorders>
              <w:top w:val="single" w:color="auto" w:sz="12"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83.57</w:t>
            </w:r>
          </w:p>
        </w:tc>
        <w:tc>
          <w:tcPr>
            <w:tcW w:w="784" w:type="pct"/>
            <w:tcBorders>
              <w:top w:val="single" w:color="auto" w:sz="12" w:space="0"/>
            </w:tcBorders>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1,076,698.68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6" w:type="pct"/>
            <w:vAlign w:val="bottom"/>
          </w:tcPr>
          <w:p>
            <w:pPr>
              <w:rPr>
                <w:color w:val="auto"/>
                <w:sz w:val="18"/>
                <w:szCs w:val="18"/>
              </w:rPr>
            </w:pPr>
            <w:r>
              <w:rPr>
                <w:color w:val="auto"/>
                <w:sz w:val="18"/>
                <w:szCs w:val="18"/>
              </w:rPr>
              <w:t>应收出口退税款</w:t>
            </w:r>
          </w:p>
        </w:tc>
        <w:tc>
          <w:tcPr>
            <w:tcW w:w="695" w:type="pct"/>
            <w:vAlign w:val="bottom"/>
          </w:tcPr>
          <w:p>
            <w:pPr>
              <w:jc w:val="center"/>
              <w:rPr>
                <w:rFonts w:ascii="宋体" w:hAnsi="宋体" w:cs="宋体"/>
                <w:color w:val="auto"/>
                <w:sz w:val="18"/>
                <w:szCs w:val="18"/>
              </w:rPr>
            </w:pPr>
            <w:r>
              <w:rPr>
                <w:rFonts w:hint="eastAsia"/>
                <w:color w:val="auto"/>
                <w:sz w:val="18"/>
                <w:szCs w:val="18"/>
              </w:rPr>
              <w:t>出口退税</w:t>
            </w:r>
          </w:p>
        </w:tc>
        <w:tc>
          <w:tcPr>
            <w:tcW w:w="849"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3,476,672.26</w:t>
            </w:r>
          </w:p>
        </w:tc>
        <w:tc>
          <w:tcPr>
            <w:tcW w:w="633" w:type="pct"/>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1年以内</w:t>
            </w:r>
          </w:p>
        </w:tc>
        <w:tc>
          <w:tcPr>
            <w:tcW w:w="803"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14.31</w:t>
            </w:r>
          </w:p>
        </w:tc>
        <w:tc>
          <w:tcPr>
            <w:tcW w:w="784"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173,833.6</w:t>
            </w:r>
            <w:r>
              <w:rPr>
                <w:rFonts w:hint="eastAsia" w:cs="宋体" w:asciiTheme="minorEastAsia" w:hAnsiTheme="minorEastAsia" w:eastAsiaTheme="minorEastAsia"/>
                <w:color w:val="auto"/>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6" w:type="pct"/>
            <w:vAlign w:val="bottom"/>
          </w:tcPr>
          <w:p>
            <w:pPr>
              <w:rPr>
                <w:color w:val="auto"/>
              </w:rPr>
            </w:pPr>
            <w:r>
              <w:rPr>
                <w:rFonts w:cs="宋体" w:asciiTheme="majorEastAsia" w:hAnsiTheme="majorEastAsia" w:eastAsiaTheme="majorEastAsia"/>
                <w:color w:val="auto"/>
                <w:sz w:val="18"/>
                <w:szCs w:val="18"/>
              </w:rPr>
              <w:t>客户二</w:t>
            </w:r>
          </w:p>
        </w:tc>
        <w:tc>
          <w:tcPr>
            <w:tcW w:w="695" w:type="pct"/>
            <w:vAlign w:val="bottom"/>
          </w:tcPr>
          <w:p>
            <w:pPr>
              <w:jc w:val="center"/>
              <w:rPr>
                <w:rFonts w:ascii="宋体" w:hAnsi="宋体" w:cs="宋体"/>
                <w:color w:val="auto"/>
                <w:sz w:val="18"/>
                <w:szCs w:val="18"/>
              </w:rPr>
            </w:pPr>
            <w:r>
              <w:rPr>
                <w:rFonts w:hint="eastAsia"/>
                <w:color w:val="auto"/>
                <w:sz w:val="18"/>
                <w:szCs w:val="18"/>
              </w:rPr>
              <w:t>保证金</w:t>
            </w:r>
          </w:p>
        </w:tc>
        <w:tc>
          <w:tcPr>
            <w:tcW w:w="849"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273,000.00</w:t>
            </w:r>
          </w:p>
        </w:tc>
        <w:tc>
          <w:tcPr>
            <w:tcW w:w="633" w:type="pct"/>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1年以内</w:t>
            </w:r>
          </w:p>
        </w:tc>
        <w:tc>
          <w:tcPr>
            <w:tcW w:w="803"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1.12</w:t>
            </w:r>
          </w:p>
        </w:tc>
        <w:tc>
          <w:tcPr>
            <w:tcW w:w="784"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13,650.00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6" w:type="pct"/>
            <w:vAlign w:val="bottom"/>
          </w:tcPr>
          <w:p>
            <w:pPr>
              <w:rPr>
                <w:color w:val="auto"/>
              </w:rPr>
            </w:pPr>
            <w:r>
              <w:rPr>
                <w:rFonts w:cs="宋体" w:asciiTheme="majorEastAsia" w:hAnsiTheme="majorEastAsia" w:eastAsiaTheme="majorEastAsia"/>
                <w:color w:val="auto"/>
                <w:sz w:val="18"/>
                <w:szCs w:val="18"/>
              </w:rPr>
              <w:t>客户三</w:t>
            </w:r>
          </w:p>
        </w:tc>
        <w:tc>
          <w:tcPr>
            <w:tcW w:w="695" w:type="pct"/>
            <w:vAlign w:val="bottom"/>
          </w:tcPr>
          <w:p>
            <w:pPr>
              <w:jc w:val="center"/>
              <w:rPr>
                <w:rFonts w:ascii="宋体" w:hAnsi="宋体" w:cs="宋体"/>
                <w:color w:val="auto"/>
                <w:sz w:val="18"/>
                <w:szCs w:val="18"/>
              </w:rPr>
            </w:pPr>
            <w:r>
              <w:rPr>
                <w:rFonts w:hint="eastAsia"/>
                <w:color w:val="auto"/>
                <w:sz w:val="18"/>
                <w:szCs w:val="18"/>
              </w:rPr>
              <w:t>保证金</w:t>
            </w:r>
          </w:p>
        </w:tc>
        <w:tc>
          <w:tcPr>
            <w:tcW w:w="849"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50,000.00</w:t>
            </w:r>
          </w:p>
        </w:tc>
        <w:tc>
          <w:tcPr>
            <w:tcW w:w="633" w:type="pct"/>
            <w:vAlign w:val="bottom"/>
          </w:tcPr>
          <w:p>
            <w:pPr>
              <w:jc w:val="center"/>
              <w:rPr>
                <w:rFonts w:cs="宋体" w:asciiTheme="minorEastAsia" w:hAnsiTheme="minorEastAsia" w:eastAsiaTheme="minorEastAsia"/>
                <w:color w:val="auto"/>
                <w:sz w:val="18"/>
                <w:szCs w:val="18"/>
              </w:rPr>
            </w:pPr>
            <w:r>
              <w:rPr>
                <w:rFonts w:asciiTheme="minorEastAsia" w:hAnsiTheme="minorEastAsia" w:eastAsiaTheme="minorEastAsia"/>
                <w:color w:val="auto"/>
                <w:sz w:val="18"/>
                <w:szCs w:val="18"/>
              </w:rPr>
              <w:t>5年以上</w:t>
            </w:r>
          </w:p>
        </w:tc>
        <w:tc>
          <w:tcPr>
            <w:tcW w:w="803"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0.21</w:t>
            </w:r>
          </w:p>
        </w:tc>
        <w:tc>
          <w:tcPr>
            <w:tcW w:w="784"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50,000.00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6" w:type="pct"/>
            <w:vAlign w:val="bottom"/>
          </w:tcPr>
          <w:p>
            <w:pPr>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客户四</w:t>
            </w:r>
          </w:p>
        </w:tc>
        <w:tc>
          <w:tcPr>
            <w:tcW w:w="695" w:type="pct"/>
            <w:vAlign w:val="bottom"/>
          </w:tcPr>
          <w:p>
            <w:pPr>
              <w:jc w:val="center"/>
              <w:rPr>
                <w:color w:val="auto"/>
                <w:sz w:val="18"/>
                <w:szCs w:val="18"/>
              </w:rPr>
            </w:pPr>
            <w:r>
              <w:rPr>
                <w:rFonts w:hint="eastAsia"/>
                <w:color w:val="auto"/>
                <w:sz w:val="18"/>
                <w:szCs w:val="18"/>
              </w:rPr>
              <w:t>保证金</w:t>
            </w:r>
          </w:p>
        </w:tc>
        <w:tc>
          <w:tcPr>
            <w:tcW w:w="849"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47,044.82</w:t>
            </w:r>
          </w:p>
        </w:tc>
        <w:tc>
          <w:tcPr>
            <w:tcW w:w="633" w:type="pct"/>
            <w:vAlign w:val="bottom"/>
          </w:tcPr>
          <w:p>
            <w:pPr>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1年以内</w:t>
            </w:r>
          </w:p>
        </w:tc>
        <w:tc>
          <w:tcPr>
            <w:tcW w:w="803"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0.19</w:t>
            </w:r>
          </w:p>
        </w:tc>
        <w:tc>
          <w:tcPr>
            <w:tcW w:w="784" w:type="pct"/>
            <w:vAlign w:val="bottom"/>
          </w:tcPr>
          <w:p>
            <w:pPr>
              <w:jc w:val="right"/>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2,352.24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6" w:type="pct"/>
            <w:tcBorders>
              <w:top w:val="single" w:color="auto" w:sz="12" w:space="0"/>
              <w:bottom w:val="single" w:color="auto" w:sz="12" w:space="0"/>
            </w:tcBorders>
            <w:vAlign w:val="bottom"/>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合计</w:t>
            </w:r>
          </w:p>
        </w:tc>
        <w:tc>
          <w:tcPr>
            <w:tcW w:w="695" w:type="pct"/>
            <w:tcBorders>
              <w:top w:val="single" w:color="auto" w:sz="12" w:space="0"/>
              <w:bottom w:val="single" w:color="auto" w:sz="12" w:space="0"/>
            </w:tcBorders>
            <w:vAlign w:val="bottom"/>
          </w:tcPr>
          <w:p>
            <w:pPr>
              <w:jc w:val="center"/>
              <w:rPr>
                <w:rFonts w:cs="宋体" w:asciiTheme="majorEastAsia" w:hAnsiTheme="majorEastAsia" w:eastAsiaTheme="majorEastAsia"/>
                <w:color w:val="auto"/>
                <w:sz w:val="18"/>
                <w:szCs w:val="18"/>
              </w:rPr>
            </w:pPr>
          </w:p>
        </w:tc>
        <w:tc>
          <w:tcPr>
            <w:tcW w:w="849" w:type="pct"/>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24,146,932.61</w:t>
            </w:r>
          </w:p>
        </w:tc>
        <w:tc>
          <w:tcPr>
            <w:tcW w:w="633" w:type="pct"/>
            <w:tcBorders>
              <w:top w:val="single" w:color="auto" w:sz="12" w:space="0"/>
              <w:bottom w:val="single" w:color="auto" w:sz="12" w:space="0"/>
            </w:tcBorders>
            <w:vAlign w:val="bottom"/>
          </w:tcPr>
          <w:p>
            <w:pPr>
              <w:jc w:val="center"/>
              <w:rPr>
                <w:rFonts w:cs="宋体" w:asciiTheme="minorEastAsia" w:hAnsiTheme="minorEastAsia" w:eastAsiaTheme="minorEastAsia"/>
                <w:b/>
                <w:bCs/>
                <w:color w:val="auto"/>
                <w:sz w:val="18"/>
                <w:szCs w:val="18"/>
              </w:rPr>
            </w:pPr>
          </w:p>
        </w:tc>
        <w:tc>
          <w:tcPr>
            <w:tcW w:w="803" w:type="pct"/>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99.40</w:t>
            </w:r>
          </w:p>
        </w:tc>
        <w:tc>
          <w:tcPr>
            <w:tcW w:w="784" w:type="pct"/>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cs="宋体" w:asciiTheme="minorEastAsia" w:hAnsiTheme="minorEastAsia" w:eastAsiaTheme="minorEastAsia"/>
                <w:b/>
                <w:bCs/>
                <w:color w:val="auto"/>
                <w:sz w:val="18"/>
                <w:szCs w:val="18"/>
              </w:rPr>
              <w:t>1,316,534.5</w:t>
            </w:r>
            <w:r>
              <w:rPr>
                <w:rFonts w:hint="eastAsia" w:cs="宋体" w:asciiTheme="minorEastAsia" w:hAnsiTheme="minorEastAsia" w:eastAsiaTheme="minorEastAsia"/>
                <w:b/>
                <w:bCs/>
                <w:color w:val="auto"/>
                <w:sz w:val="18"/>
                <w:szCs w:val="18"/>
              </w:rPr>
              <w:t>3</w:t>
            </w:r>
          </w:p>
        </w:tc>
      </w:tr>
    </w:tbl>
    <w:p>
      <w:pPr>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⑧期末其他应收款中无应收持公司</w:t>
      </w:r>
      <w:r>
        <w:rPr>
          <w:rFonts w:ascii="宋体" w:hAnsi="宋体"/>
          <w:bCs/>
          <w:color w:val="auto"/>
          <w:szCs w:val="21"/>
        </w:rPr>
        <w:t>5%</w:t>
      </w:r>
      <w:r>
        <w:rPr>
          <w:rFonts w:hint="eastAsia" w:ascii="宋体" w:hAnsi="宋体"/>
          <w:bCs/>
          <w:color w:val="auto"/>
          <w:szCs w:val="21"/>
        </w:rPr>
        <w:t>（含</w:t>
      </w:r>
      <w:r>
        <w:rPr>
          <w:rFonts w:ascii="宋体" w:hAnsi="宋体"/>
          <w:bCs/>
          <w:color w:val="auto"/>
          <w:szCs w:val="21"/>
        </w:rPr>
        <w:t>5%</w:t>
      </w:r>
      <w:r>
        <w:rPr>
          <w:rFonts w:hint="eastAsia" w:ascii="宋体" w:hAnsi="宋体"/>
          <w:bCs/>
          <w:color w:val="auto"/>
          <w:szCs w:val="21"/>
        </w:rPr>
        <w:t>）以上表决权股份的股东单位欠款。</w:t>
      </w:r>
    </w:p>
    <w:p>
      <w:pPr>
        <w:spacing w:before="150" w:beforeLines="50" w:after="150" w:afterLines="50" w:line="360" w:lineRule="auto"/>
        <w:ind w:firstLine="420" w:firstLineChars="200"/>
        <w:rPr>
          <w:rFonts w:ascii="宋体" w:hAnsi="宋体"/>
          <w:bCs/>
          <w:color w:val="auto"/>
          <w:szCs w:val="21"/>
        </w:rPr>
      </w:pPr>
      <w:r>
        <w:rPr>
          <w:rFonts w:hint="eastAsia" w:ascii="宋体" w:hAnsi="宋体"/>
          <w:bCs/>
          <w:color w:val="auto"/>
          <w:szCs w:val="21"/>
        </w:rPr>
        <w:t>⑨报告期内公司无以其他应收款进行证券化的交易情况。</w:t>
      </w:r>
    </w:p>
    <w:p>
      <w:pPr>
        <w:pStyle w:val="5"/>
        <w:spacing w:before="150" w:beforeLines="50" w:after="150" w:afterLines="50" w:line="360" w:lineRule="auto"/>
        <w:ind w:firstLine="420" w:firstLineChars="200"/>
        <w:outlineLvl w:val="1"/>
        <w:rPr>
          <w:rFonts w:asciiTheme="minorEastAsia" w:hAnsiTheme="minorEastAsia" w:eastAsiaTheme="minorEastAsia"/>
          <w:b/>
          <w:color w:val="auto"/>
          <w:szCs w:val="21"/>
        </w:rPr>
      </w:pPr>
      <w:r>
        <w:rPr>
          <w:rFonts w:asciiTheme="minorEastAsia" w:hAnsiTheme="minorEastAsia" w:eastAsiaTheme="minorEastAsia"/>
          <w:b/>
          <w:color w:val="auto"/>
          <w:szCs w:val="21"/>
        </w:rPr>
        <w:t>3</w:t>
      </w:r>
      <w:r>
        <w:rPr>
          <w:rFonts w:hint="eastAsia" w:asciiTheme="minorEastAsia" w:hAnsiTheme="minorEastAsia" w:eastAsiaTheme="minorEastAsia"/>
          <w:b/>
          <w:color w:val="auto"/>
          <w:szCs w:val="21"/>
        </w:rPr>
        <w:t>、长期股权投资</w:t>
      </w:r>
    </w:p>
    <w:p>
      <w:pPr>
        <w:spacing w:before="150" w:beforeLines="50" w:after="150" w:afterLines="50" w:line="360" w:lineRule="auto"/>
        <w:ind w:firstLine="420" w:firstLineChars="200"/>
        <w:rPr>
          <w:rFonts w:ascii="宋体"/>
          <w:bCs/>
          <w:color w:val="auto"/>
          <w:szCs w:val="21"/>
        </w:rPr>
      </w:pPr>
      <w:r>
        <w:rPr>
          <w:rFonts w:hint="eastAsia" w:ascii="宋体" w:hAnsi="宋体"/>
          <w:bCs/>
          <w:color w:val="auto"/>
          <w:szCs w:val="21"/>
        </w:rPr>
        <w:t>（</w:t>
      </w:r>
      <w:r>
        <w:rPr>
          <w:rFonts w:ascii="宋体" w:hAnsi="宋体"/>
          <w:bCs/>
          <w:color w:val="auto"/>
          <w:szCs w:val="21"/>
        </w:rPr>
        <w:t>1</w:t>
      </w:r>
      <w:r>
        <w:rPr>
          <w:rFonts w:hint="eastAsia" w:ascii="宋体" w:hAnsi="宋体"/>
          <w:bCs/>
          <w:color w:val="auto"/>
          <w:szCs w:val="21"/>
        </w:rPr>
        <w:t>）明细项目：</w:t>
      </w:r>
    </w:p>
    <w:tbl>
      <w:tblPr>
        <w:tblStyle w:val="9"/>
        <w:tblW w:w="4941" w:type="pct"/>
        <w:tblCaption w:val="&quot;\\lisheng\共享\1、伟隆2022年度审计\1、2022年度审计\1、附注及报告\2022年\附注计算-伟隆 - 2022.xlsx&quot; &quot;2022附注格式!_ReportTable_0121&quot;"/>
        <w:tblDescription w:val="A1089:F1098"/>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98"/>
        <w:gridCol w:w="1141"/>
        <w:gridCol w:w="1675"/>
        <w:gridCol w:w="1675"/>
        <w:gridCol w:w="1572"/>
        <w:gridCol w:w="16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26" w:type="pct"/>
            <w:tcBorders>
              <w:top w:val="single" w:color="auto" w:sz="12" w:space="0"/>
              <w:bottom w:val="single" w:color="auto" w:sz="12" w:space="0"/>
            </w:tcBorders>
            <w:vAlign w:val="center"/>
          </w:tcPr>
          <w:p>
            <w:pPr>
              <w:jc w:val="center"/>
              <w:rPr>
                <w:rFonts w:ascii="宋体"/>
                <w:b/>
                <w:color w:val="auto"/>
                <w:sz w:val="18"/>
                <w:szCs w:val="18"/>
              </w:rPr>
            </w:pPr>
            <w:r>
              <w:rPr>
                <w:rFonts w:hint="eastAsia" w:ascii="宋体" w:hAnsi="宋体"/>
                <w:b/>
                <w:color w:val="auto"/>
                <w:sz w:val="18"/>
                <w:szCs w:val="18"/>
              </w:rPr>
              <w:t>公司全称</w:t>
            </w:r>
          </w:p>
        </w:tc>
        <w:tc>
          <w:tcPr>
            <w:tcW w:w="586" w:type="pct"/>
            <w:tcBorders>
              <w:top w:val="single" w:color="auto" w:sz="12" w:space="0"/>
              <w:bottom w:val="single" w:color="auto" w:sz="12" w:space="0"/>
            </w:tcBorders>
            <w:vAlign w:val="center"/>
          </w:tcPr>
          <w:p>
            <w:pPr>
              <w:jc w:val="center"/>
              <w:rPr>
                <w:rFonts w:ascii="宋体"/>
                <w:b/>
                <w:color w:val="auto"/>
                <w:sz w:val="18"/>
                <w:szCs w:val="18"/>
              </w:rPr>
            </w:pPr>
            <w:r>
              <w:rPr>
                <w:rFonts w:hint="eastAsia" w:ascii="宋体" w:hAnsi="宋体"/>
                <w:b/>
                <w:color w:val="auto"/>
                <w:sz w:val="18"/>
                <w:szCs w:val="18"/>
              </w:rPr>
              <w:t>核算方法</w:t>
            </w:r>
          </w:p>
        </w:tc>
        <w:tc>
          <w:tcPr>
            <w:tcW w:w="860" w:type="pct"/>
            <w:tcBorders>
              <w:top w:val="single" w:color="auto" w:sz="12" w:space="0"/>
              <w:bottom w:val="single" w:color="auto" w:sz="12" w:space="0"/>
            </w:tcBorders>
            <w:vAlign w:val="center"/>
          </w:tcPr>
          <w:p>
            <w:pPr>
              <w:jc w:val="center"/>
              <w:rPr>
                <w:rFonts w:ascii="宋体"/>
                <w:b/>
                <w:color w:val="auto"/>
                <w:sz w:val="18"/>
                <w:szCs w:val="18"/>
              </w:rPr>
            </w:pPr>
            <w:r>
              <w:rPr>
                <w:rFonts w:hint="eastAsia" w:ascii="宋体" w:hAnsi="宋体"/>
                <w:b/>
                <w:color w:val="auto"/>
                <w:sz w:val="18"/>
                <w:szCs w:val="18"/>
              </w:rPr>
              <w:t>投资成本</w:t>
            </w:r>
          </w:p>
        </w:tc>
        <w:tc>
          <w:tcPr>
            <w:tcW w:w="860" w:type="pct"/>
            <w:tcBorders>
              <w:top w:val="single" w:color="auto" w:sz="12" w:space="0"/>
              <w:bottom w:val="single" w:color="auto" w:sz="12" w:space="0"/>
            </w:tcBorders>
            <w:vAlign w:val="center"/>
          </w:tcPr>
          <w:p>
            <w:pPr>
              <w:jc w:val="center"/>
              <w:rPr>
                <w:rFonts w:ascii="宋体"/>
                <w:b/>
                <w:color w:val="auto"/>
                <w:sz w:val="18"/>
                <w:szCs w:val="18"/>
              </w:rPr>
            </w:pPr>
            <w:r>
              <w:rPr>
                <w:rFonts w:hint="eastAsia" w:ascii="宋体" w:hAnsi="宋体"/>
                <w:b/>
                <w:color w:val="auto"/>
                <w:kern w:val="0"/>
                <w:sz w:val="18"/>
                <w:szCs w:val="18"/>
              </w:rPr>
              <w:t>期初余额</w:t>
            </w:r>
          </w:p>
        </w:tc>
        <w:tc>
          <w:tcPr>
            <w:tcW w:w="807" w:type="pct"/>
            <w:tcBorders>
              <w:top w:val="single" w:color="auto" w:sz="12" w:space="0"/>
              <w:bottom w:val="single" w:color="auto" w:sz="12" w:space="0"/>
            </w:tcBorders>
            <w:vAlign w:val="center"/>
          </w:tcPr>
          <w:p>
            <w:pPr>
              <w:jc w:val="center"/>
              <w:rPr>
                <w:rFonts w:ascii="宋体"/>
                <w:b/>
                <w:color w:val="auto"/>
                <w:sz w:val="18"/>
                <w:szCs w:val="18"/>
              </w:rPr>
            </w:pPr>
            <w:r>
              <w:rPr>
                <w:rFonts w:hint="eastAsia" w:ascii="宋体" w:hAnsi="宋体"/>
                <w:b/>
                <w:color w:val="auto"/>
                <w:kern w:val="0"/>
                <w:sz w:val="18"/>
                <w:szCs w:val="18"/>
              </w:rPr>
              <w:t>增减变动</w:t>
            </w:r>
          </w:p>
        </w:tc>
        <w:tc>
          <w:tcPr>
            <w:tcW w:w="860" w:type="pct"/>
            <w:tcBorders>
              <w:top w:val="single" w:color="auto" w:sz="12" w:space="0"/>
              <w:bottom w:val="single" w:color="auto" w:sz="12" w:space="0"/>
            </w:tcBorders>
            <w:vAlign w:val="center"/>
          </w:tcPr>
          <w:p>
            <w:pPr>
              <w:jc w:val="center"/>
              <w:rPr>
                <w:rFonts w:ascii="宋体"/>
                <w:b/>
                <w:color w:val="auto"/>
                <w:sz w:val="18"/>
                <w:szCs w:val="18"/>
              </w:rPr>
            </w:pPr>
            <w:r>
              <w:rPr>
                <w:rFonts w:hint="eastAsia" w:ascii="宋体" w:hAnsi="宋体"/>
                <w:b/>
                <w:color w:val="auto"/>
                <w:kern w:val="0"/>
                <w:sz w:val="18"/>
                <w:szCs w:val="18"/>
              </w:rPr>
              <w:t>期末余额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26" w:type="pct"/>
            <w:tcBorders>
              <w:top w:val="single" w:color="auto" w:sz="12" w:space="0"/>
              <w:bottom w:val="single" w:color="auto" w:sz="4" w:space="0"/>
            </w:tcBorders>
            <w:vAlign w:val="bottom"/>
          </w:tcPr>
          <w:p>
            <w:pP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青岛伟隆五金机械有限公司</w:t>
            </w:r>
          </w:p>
        </w:tc>
        <w:tc>
          <w:tcPr>
            <w:tcW w:w="586" w:type="pct"/>
            <w:tcBorders>
              <w:top w:val="single" w:color="auto" w:sz="12" w:space="0"/>
              <w:bottom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成本法</w:t>
            </w:r>
          </w:p>
        </w:tc>
        <w:tc>
          <w:tcPr>
            <w:tcW w:w="860" w:type="pct"/>
            <w:tcBorders>
              <w:top w:val="single" w:color="auto" w:sz="12" w:space="0"/>
              <w:bottom w:val="single" w:color="auto" w:sz="4" w:space="0"/>
            </w:tcBorders>
            <w:vAlign w:val="bottom"/>
          </w:tcPr>
          <w:p>
            <w:pPr>
              <w:jc w:val="right"/>
              <w:rPr>
                <w:rFonts w:cs="宋体" w:asciiTheme="majorEastAsia" w:hAnsiTheme="majorEastAsia" w:eastAsiaTheme="majorEastAsia"/>
                <w:color w:val="auto"/>
                <w:sz w:val="18"/>
                <w:szCs w:val="18"/>
              </w:rPr>
            </w:pPr>
            <w:r>
              <w:rPr>
                <w:rFonts w:asciiTheme="majorEastAsia" w:hAnsiTheme="majorEastAsia" w:eastAsiaTheme="majorEastAsia"/>
                <w:color w:val="auto"/>
                <w:sz w:val="18"/>
                <w:szCs w:val="18"/>
              </w:rPr>
              <w:t>500,000.00</w:t>
            </w:r>
          </w:p>
        </w:tc>
        <w:tc>
          <w:tcPr>
            <w:tcW w:w="860" w:type="pct"/>
            <w:tcBorders>
              <w:top w:val="single" w:color="auto" w:sz="12" w:space="0"/>
              <w:bottom w:val="single" w:color="auto" w:sz="4" w:space="0"/>
            </w:tcBorders>
            <w:vAlign w:val="bottom"/>
          </w:tcPr>
          <w:p>
            <w:pPr>
              <w:jc w:val="right"/>
              <w:rPr>
                <w:rFonts w:cs="宋体" w:asciiTheme="majorEastAsia" w:hAnsiTheme="majorEastAsia" w:eastAsiaTheme="majorEastAsia"/>
                <w:color w:val="auto"/>
                <w:sz w:val="18"/>
                <w:szCs w:val="18"/>
              </w:rPr>
            </w:pPr>
            <w:r>
              <w:rPr>
                <w:rFonts w:asciiTheme="majorEastAsia" w:hAnsiTheme="majorEastAsia" w:eastAsiaTheme="majorEastAsia"/>
                <w:color w:val="auto"/>
                <w:sz w:val="18"/>
                <w:szCs w:val="18"/>
              </w:rPr>
              <w:t>500,000.00</w:t>
            </w:r>
          </w:p>
        </w:tc>
        <w:tc>
          <w:tcPr>
            <w:tcW w:w="807" w:type="pct"/>
            <w:tcBorders>
              <w:top w:val="single" w:color="auto" w:sz="12" w:space="0"/>
              <w:bottom w:val="single" w:color="auto" w:sz="4" w:space="0"/>
            </w:tcBorders>
            <w:vAlign w:val="bottom"/>
          </w:tcPr>
          <w:p>
            <w:pPr>
              <w:jc w:val="right"/>
              <w:rPr>
                <w:rFonts w:cs="宋体" w:asciiTheme="majorEastAsia" w:hAnsiTheme="majorEastAsia" w:eastAsiaTheme="majorEastAsia"/>
                <w:color w:val="auto"/>
                <w:sz w:val="18"/>
                <w:szCs w:val="18"/>
              </w:rPr>
            </w:pPr>
          </w:p>
        </w:tc>
        <w:tc>
          <w:tcPr>
            <w:tcW w:w="860" w:type="pct"/>
            <w:tcBorders>
              <w:top w:val="single" w:color="auto" w:sz="12" w:space="0"/>
              <w:bottom w:val="single" w:color="auto" w:sz="4" w:space="0"/>
            </w:tcBorders>
            <w:vAlign w:val="bottom"/>
          </w:tcPr>
          <w:p>
            <w:pPr>
              <w:jc w:val="right"/>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500,000.00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026" w:type="pct"/>
            <w:tcBorders>
              <w:top w:val="single" w:color="auto" w:sz="4" w:space="0"/>
              <w:bottom w:val="single" w:color="auto" w:sz="4" w:space="0"/>
            </w:tcBorders>
            <w:vAlign w:val="bottom"/>
          </w:tcPr>
          <w:p>
            <w:pP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青岛伟隆流体设备有限公司</w:t>
            </w:r>
          </w:p>
        </w:tc>
        <w:tc>
          <w:tcPr>
            <w:tcW w:w="586" w:type="pct"/>
            <w:tcBorders>
              <w:top w:val="single" w:color="auto" w:sz="4" w:space="0"/>
              <w:bottom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成本法</w:t>
            </w:r>
          </w:p>
        </w:tc>
        <w:tc>
          <w:tcPr>
            <w:tcW w:w="860"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asciiTheme="majorEastAsia" w:hAnsiTheme="majorEastAsia" w:eastAsiaTheme="majorEastAsia"/>
                <w:color w:val="auto"/>
                <w:sz w:val="18"/>
                <w:szCs w:val="18"/>
              </w:rPr>
              <w:t>60,000,000.00</w:t>
            </w:r>
          </w:p>
        </w:tc>
        <w:tc>
          <w:tcPr>
            <w:tcW w:w="860"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asciiTheme="majorEastAsia" w:hAnsiTheme="majorEastAsia" w:eastAsiaTheme="majorEastAsia"/>
                <w:color w:val="auto"/>
                <w:sz w:val="18"/>
                <w:szCs w:val="18"/>
              </w:rPr>
              <w:t>60,000,000.00</w:t>
            </w:r>
          </w:p>
        </w:tc>
        <w:tc>
          <w:tcPr>
            <w:tcW w:w="807"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p>
        </w:tc>
        <w:tc>
          <w:tcPr>
            <w:tcW w:w="860"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60,000,000.00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026" w:type="pct"/>
            <w:tcBorders>
              <w:top w:val="single" w:color="auto" w:sz="4" w:space="0"/>
            </w:tcBorders>
            <w:vAlign w:val="bottom"/>
          </w:tcPr>
          <w:p>
            <w:pP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莱州伟隆阀门有限公司</w:t>
            </w:r>
          </w:p>
        </w:tc>
        <w:tc>
          <w:tcPr>
            <w:tcW w:w="586" w:type="pct"/>
            <w:tcBorders>
              <w:top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成本法</w:t>
            </w:r>
          </w:p>
        </w:tc>
        <w:tc>
          <w:tcPr>
            <w:tcW w:w="860" w:type="pct"/>
            <w:tcBorders>
              <w:top w:val="single" w:color="auto" w:sz="4" w:space="0"/>
            </w:tcBorders>
            <w:vAlign w:val="bottom"/>
          </w:tcPr>
          <w:p>
            <w:pPr>
              <w:jc w:val="right"/>
              <w:rPr>
                <w:rFonts w:cs="宋体" w:asciiTheme="majorEastAsia" w:hAnsiTheme="majorEastAsia" w:eastAsiaTheme="majorEastAsia"/>
                <w:color w:val="auto"/>
                <w:sz w:val="18"/>
                <w:szCs w:val="18"/>
              </w:rPr>
            </w:pPr>
            <w:r>
              <w:rPr>
                <w:rFonts w:asciiTheme="majorEastAsia" w:hAnsiTheme="majorEastAsia" w:eastAsiaTheme="majorEastAsia"/>
                <w:color w:val="auto"/>
                <w:sz w:val="18"/>
                <w:szCs w:val="18"/>
              </w:rPr>
              <w:t>167,988,288.38</w:t>
            </w:r>
          </w:p>
        </w:tc>
        <w:tc>
          <w:tcPr>
            <w:tcW w:w="860" w:type="pct"/>
            <w:tcBorders>
              <w:top w:val="single" w:color="auto" w:sz="4" w:space="0"/>
            </w:tcBorders>
            <w:vAlign w:val="bottom"/>
          </w:tcPr>
          <w:p>
            <w:pPr>
              <w:jc w:val="right"/>
              <w:rPr>
                <w:rFonts w:cs="宋体" w:asciiTheme="majorEastAsia" w:hAnsiTheme="majorEastAsia" w:eastAsiaTheme="majorEastAsia"/>
                <w:color w:val="auto"/>
                <w:sz w:val="18"/>
                <w:szCs w:val="18"/>
              </w:rPr>
            </w:pPr>
            <w:r>
              <w:rPr>
                <w:rFonts w:asciiTheme="majorEastAsia" w:hAnsiTheme="majorEastAsia" w:eastAsiaTheme="majorEastAsia"/>
                <w:color w:val="auto"/>
                <w:sz w:val="18"/>
                <w:szCs w:val="18"/>
              </w:rPr>
              <w:t>167,988,288.38</w:t>
            </w:r>
          </w:p>
        </w:tc>
        <w:tc>
          <w:tcPr>
            <w:tcW w:w="807" w:type="pct"/>
            <w:tcBorders>
              <w:top w:val="single" w:color="auto" w:sz="4" w:space="0"/>
            </w:tcBorders>
            <w:vAlign w:val="bottom"/>
          </w:tcPr>
          <w:p>
            <w:pPr>
              <w:jc w:val="right"/>
              <w:rPr>
                <w:rFonts w:cs="宋体" w:asciiTheme="majorEastAsia" w:hAnsiTheme="majorEastAsia" w:eastAsiaTheme="majorEastAsia"/>
                <w:color w:val="auto"/>
                <w:sz w:val="18"/>
                <w:szCs w:val="18"/>
              </w:rPr>
            </w:pPr>
          </w:p>
        </w:tc>
        <w:tc>
          <w:tcPr>
            <w:tcW w:w="860" w:type="pct"/>
            <w:tcBorders>
              <w:top w:val="single" w:color="auto" w:sz="4" w:space="0"/>
            </w:tcBorders>
            <w:vAlign w:val="bottom"/>
          </w:tcPr>
          <w:p>
            <w:pPr>
              <w:jc w:val="right"/>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167,988,288.38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026" w:type="pct"/>
            <w:vAlign w:val="bottom"/>
          </w:tcPr>
          <w:p>
            <w:pP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青岛即聚机电有限责任公司</w:t>
            </w:r>
          </w:p>
        </w:tc>
        <w:tc>
          <w:tcPr>
            <w:tcW w:w="586" w:type="pct"/>
            <w:vAlign w:val="bottom"/>
          </w:tcPr>
          <w:p>
            <w:pPr>
              <w:jc w:val="center"/>
              <w:rPr>
                <w:color w:val="auto"/>
              </w:rPr>
            </w:pPr>
            <w:r>
              <w:rPr>
                <w:rFonts w:hint="eastAsia" w:asciiTheme="minorEastAsia" w:hAnsiTheme="minorEastAsia" w:eastAsiaTheme="minorEastAsia"/>
                <w:color w:val="auto"/>
                <w:sz w:val="18"/>
                <w:szCs w:val="18"/>
              </w:rPr>
              <w:t>成本法</w:t>
            </w:r>
          </w:p>
        </w:tc>
        <w:tc>
          <w:tcPr>
            <w:tcW w:w="860" w:type="pct"/>
            <w:vAlign w:val="bottom"/>
          </w:tcPr>
          <w:p>
            <w:pPr>
              <w:jc w:val="right"/>
              <w:rPr>
                <w:rFonts w:cs="宋体" w:asciiTheme="majorEastAsia" w:hAnsiTheme="majorEastAsia" w:eastAsiaTheme="majorEastAsia"/>
                <w:color w:val="auto"/>
                <w:sz w:val="18"/>
                <w:szCs w:val="18"/>
              </w:rPr>
            </w:pPr>
            <w:r>
              <w:rPr>
                <w:rFonts w:asciiTheme="majorEastAsia" w:hAnsiTheme="majorEastAsia" w:eastAsiaTheme="majorEastAsia"/>
                <w:color w:val="auto"/>
                <w:sz w:val="18"/>
                <w:szCs w:val="18"/>
              </w:rPr>
              <w:t>8,247,836.87</w:t>
            </w:r>
          </w:p>
        </w:tc>
        <w:tc>
          <w:tcPr>
            <w:tcW w:w="860" w:type="pct"/>
            <w:vAlign w:val="bottom"/>
          </w:tcPr>
          <w:p>
            <w:pPr>
              <w:jc w:val="right"/>
              <w:rPr>
                <w:rFonts w:cs="宋体" w:asciiTheme="majorEastAsia" w:hAnsiTheme="majorEastAsia" w:eastAsiaTheme="majorEastAsia"/>
                <w:color w:val="auto"/>
                <w:sz w:val="18"/>
                <w:szCs w:val="18"/>
              </w:rPr>
            </w:pPr>
            <w:r>
              <w:rPr>
                <w:rFonts w:asciiTheme="majorEastAsia" w:hAnsiTheme="majorEastAsia" w:eastAsiaTheme="majorEastAsia"/>
                <w:color w:val="auto"/>
                <w:sz w:val="18"/>
                <w:szCs w:val="18"/>
              </w:rPr>
              <w:t>8,247,836.87</w:t>
            </w:r>
          </w:p>
        </w:tc>
        <w:tc>
          <w:tcPr>
            <w:tcW w:w="807" w:type="pct"/>
            <w:vAlign w:val="bottom"/>
          </w:tcPr>
          <w:p>
            <w:pPr>
              <w:jc w:val="right"/>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-8,247,836.87</w:t>
            </w:r>
          </w:p>
        </w:tc>
        <w:tc>
          <w:tcPr>
            <w:tcW w:w="860" w:type="pct"/>
            <w:vAlign w:val="bottom"/>
          </w:tcPr>
          <w:p>
            <w:pPr>
              <w:jc w:val="right"/>
              <w:rPr>
                <w:rFonts w:cs="宋体" w:asciiTheme="majorEastAsia" w:hAnsiTheme="majorEastAsia" w:eastAsiaTheme="majorEastAsia"/>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026" w:type="pct"/>
            <w:tcBorders>
              <w:bottom w:val="single" w:color="auto" w:sz="4" w:space="0"/>
            </w:tcBorders>
            <w:vAlign w:val="bottom"/>
          </w:tcPr>
          <w:p>
            <w:pP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青岛卓信检测技术有限责任公司</w:t>
            </w:r>
          </w:p>
        </w:tc>
        <w:tc>
          <w:tcPr>
            <w:tcW w:w="586" w:type="pct"/>
            <w:tcBorders>
              <w:bottom w:val="single" w:color="auto" w:sz="4" w:space="0"/>
            </w:tcBorders>
            <w:vAlign w:val="bottom"/>
          </w:tcPr>
          <w:p>
            <w:pPr>
              <w:jc w:val="center"/>
              <w:rPr>
                <w:color w:val="auto"/>
              </w:rPr>
            </w:pPr>
            <w:r>
              <w:rPr>
                <w:rFonts w:hint="eastAsia" w:asciiTheme="minorEastAsia" w:hAnsiTheme="minorEastAsia" w:eastAsiaTheme="minorEastAsia"/>
                <w:color w:val="auto"/>
                <w:sz w:val="18"/>
                <w:szCs w:val="18"/>
              </w:rPr>
              <w:t>成本法</w:t>
            </w:r>
          </w:p>
        </w:tc>
        <w:tc>
          <w:tcPr>
            <w:tcW w:w="860" w:type="pct"/>
            <w:tcBorders>
              <w:bottom w:val="single" w:color="auto" w:sz="4" w:space="0"/>
            </w:tcBorders>
            <w:vAlign w:val="bottom"/>
          </w:tcPr>
          <w:p>
            <w:pPr>
              <w:jc w:val="right"/>
              <w:rPr>
                <w:rFonts w:cs="宋体" w:asciiTheme="majorEastAsia" w:hAnsiTheme="majorEastAsia" w:eastAsiaTheme="majorEastAsia"/>
                <w:color w:val="auto"/>
                <w:sz w:val="18"/>
                <w:szCs w:val="18"/>
              </w:rPr>
            </w:pPr>
            <w:r>
              <w:rPr>
                <w:rFonts w:asciiTheme="majorEastAsia" w:hAnsiTheme="majorEastAsia" w:eastAsiaTheme="majorEastAsia"/>
                <w:color w:val="auto"/>
                <w:sz w:val="18"/>
                <w:szCs w:val="18"/>
              </w:rPr>
              <w:t>5,000,000.00</w:t>
            </w:r>
          </w:p>
        </w:tc>
        <w:tc>
          <w:tcPr>
            <w:tcW w:w="860" w:type="pct"/>
            <w:tcBorders>
              <w:bottom w:val="single" w:color="auto" w:sz="4" w:space="0"/>
            </w:tcBorders>
            <w:vAlign w:val="bottom"/>
          </w:tcPr>
          <w:p>
            <w:pPr>
              <w:jc w:val="right"/>
              <w:rPr>
                <w:rFonts w:cs="宋体" w:asciiTheme="majorEastAsia" w:hAnsiTheme="majorEastAsia" w:eastAsiaTheme="majorEastAsia"/>
                <w:color w:val="auto"/>
                <w:sz w:val="18"/>
                <w:szCs w:val="18"/>
              </w:rPr>
            </w:pPr>
            <w:r>
              <w:rPr>
                <w:rFonts w:asciiTheme="majorEastAsia" w:hAnsiTheme="majorEastAsia" w:eastAsiaTheme="majorEastAsia"/>
                <w:color w:val="auto"/>
                <w:sz w:val="18"/>
                <w:szCs w:val="18"/>
              </w:rPr>
              <w:t>5,000,000.00</w:t>
            </w:r>
          </w:p>
        </w:tc>
        <w:tc>
          <w:tcPr>
            <w:tcW w:w="807" w:type="pct"/>
            <w:tcBorders>
              <w:bottom w:val="single" w:color="auto" w:sz="4" w:space="0"/>
            </w:tcBorders>
            <w:vAlign w:val="bottom"/>
          </w:tcPr>
          <w:p>
            <w:pPr>
              <w:jc w:val="right"/>
              <w:rPr>
                <w:rFonts w:cs="宋体" w:asciiTheme="majorEastAsia" w:hAnsiTheme="majorEastAsia" w:eastAsiaTheme="majorEastAsia"/>
                <w:color w:val="auto"/>
                <w:sz w:val="18"/>
                <w:szCs w:val="18"/>
              </w:rPr>
            </w:pPr>
          </w:p>
        </w:tc>
        <w:tc>
          <w:tcPr>
            <w:tcW w:w="860" w:type="pct"/>
            <w:tcBorders>
              <w:bottom w:val="single" w:color="auto" w:sz="4" w:space="0"/>
            </w:tcBorders>
            <w:vAlign w:val="bottom"/>
          </w:tcPr>
          <w:p>
            <w:pPr>
              <w:jc w:val="right"/>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5,000,000.00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026" w:type="pct"/>
            <w:tcBorders>
              <w:top w:val="single" w:color="auto" w:sz="4" w:space="0"/>
              <w:bottom w:val="single" w:color="auto" w:sz="4" w:space="0"/>
            </w:tcBorders>
            <w:vAlign w:val="bottom"/>
          </w:tcPr>
          <w:p>
            <w:pP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偉隆（香港）實業有限公司</w:t>
            </w:r>
          </w:p>
        </w:tc>
        <w:tc>
          <w:tcPr>
            <w:tcW w:w="586" w:type="pct"/>
            <w:tcBorders>
              <w:top w:val="single" w:color="auto" w:sz="4" w:space="0"/>
              <w:bottom w:val="single" w:color="auto" w:sz="4" w:space="0"/>
            </w:tcBorders>
            <w:vAlign w:val="bottom"/>
          </w:tcPr>
          <w:p>
            <w:pPr>
              <w:jc w:val="center"/>
              <w:rPr>
                <w:color w:val="auto"/>
              </w:rPr>
            </w:pPr>
            <w:r>
              <w:rPr>
                <w:rFonts w:hint="eastAsia" w:asciiTheme="minorEastAsia" w:hAnsiTheme="minorEastAsia" w:eastAsiaTheme="minorEastAsia"/>
                <w:color w:val="auto"/>
                <w:sz w:val="18"/>
                <w:szCs w:val="18"/>
              </w:rPr>
              <w:t>成本法</w:t>
            </w:r>
          </w:p>
        </w:tc>
        <w:tc>
          <w:tcPr>
            <w:tcW w:w="860"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318,465.00</w:t>
            </w:r>
          </w:p>
        </w:tc>
        <w:tc>
          <w:tcPr>
            <w:tcW w:w="860"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318,465.00</w:t>
            </w:r>
          </w:p>
        </w:tc>
        <w:tc>
          <w:tcPr>
            <w:tcW w:w="807"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p>
        </w:tc>
        <w:tc>
          <w:tcPr>
            <w:tcW w:w="860"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318,465.00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026" w:type="pct"/>
            <w:tcBorders>
              <w:top w:val="single" w:color="auto" w:sz="4" w:space="0"/>
              <w:bottom w:val="single" w:color="auto" w:sz="4" w:space="0"/>
            </w:tcBorders>
            <w:vAlign w:val="bottom"/>
          </w:tcPr>
          <w:p>
            <w:pPr>
              <w:rPr>
                <w:rFonts w:cs="宋体" w:asciiTheme="majorEastAsia" w:hAnsiTheme="majorEastAsia" w:eastAsiaTheme="majorEastAsia"/>
                <w:color w:val="auto"/>
                <w:sz w:val="18"/>
                <w:szCs w:val="18"/>
              </w:rPr>
            </w:pPr>
            <w:r>
              <w:rPr>
                <w:rFonts w:asciiTheme="majorEastAsia" w:hAnsiTheme="majorEastAsia" w:eastAsiaTheme="majorEastAsia"/>
                <w:color w:val="auto"/>
                <w:sz w:val="18"/>
                <w:szCs w:val="18"/>
              </w:rPr>
              <w:t>Weflo Valve Company  Limited（英国公司）</w:t>
            </w:r>
          </w:p>
        </w:tc>
        <w:tc>
          <w:tcPr>
            <w:tcW w:w="586" w:type="pct"/>
            <w:tcBorders>
              <w:top w:val="single" w:color="auto" w:sz="4" w:space="0"/>
              <w:bottom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成本法</w:t>
            </w:r>
          </w:p>
        </w:tc>
        <w:tc>
          <w:tcPr>
            <w:tcW w:w="860"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p>
        </w:tc>
        <w:tc>
          <w:tcPr>
            <w:tcW w:w="860"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p>
        </w:tc>
        <w:tc>
          <w:tcPr>
            <w:tcW w:w="807"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p>
        </w:tc>
        <w:tc>
          <w:tcPr>
            <w:tcW w:w="860"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026" w:type="pct"/>
            <w:tcBorders>
              <w:top w:val="single" w:color="auto" w:sz="4" w:space="0"/>
              <w:bottom w:val="single" w:color="auto" w:sz="4" w:space="0"/>
            </w:tcBorders>
            <w:vAlign w:val="bottom"/>
          </w:tcPr>
          <w:p>
            <w:pPr>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Weflo Valve LLC（美国公司）</w:t>
            </w:r>
          </w:p>
        </w:tc>
        <w:tc>
          <w:tcPr>
            <w:tcW w:w="586" w:type="pct"/>
            <w:tcBorders>
              <w:top w:val="single" w:color="auto" w:sz="4" w:space="0"/>
              <w:bottom w:val="single" w:color="auto" w:sz="4" w:space="0"/>
            </w:tcBorders>
            <w:vAlign w:val="bottom"/>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成本法</w:t>
            </w:r>
          </w:p>
        </w:tc>
        <w:tc>
          <w:tcPr>
            <w:tcW w:w="860" w:type="pct"/>
            <w:tcBorders>
              <w:top w:val="single" w:color="auto" w:sz="4" w:space="0"/>
              <w:bottom w:val="single" w:color="auto" w:sz="4" w:space="0"/>
            </w:tcBorders>
            <w:vAlign w:val="bottom"/>
          </w:tcPr>
          <w:p>
            <w:pPr>
              <w:jc w:val="right"/>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308,136.00</w:t>
            </w:r>
          </w:p>
        </w:tc>
        <w:tc>
          <w:tcPr>
            <w:tcW w:w="860" w:type="pct"/>
            <w:tcBorders>
              <w:top w:val="single" w:color="auto" w:sz="4" w:space="0"/>
              <w:bottom w:val="single" w:color="auto" w:sz="4" w:space="0"/>
            </w:tcBorders>
            <w:vAlign w:val="bottom"/>
          </w:tcPr>
          <w:p>
            <w:pPr>
              <w:jc w:val="right"/>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308,136.00</w:t>
            </w:r>
          </w:p>
        </w:tc>
        <w:tc>
          <w:tcPr>
            <w:tcW w:w="807"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p>
        </w:tc>
        <w:tc>
          <w:tcPr>
            <w:tcW w:w="860" w:type="pct"/>
            <w:tcBorders>
              <w:top w:val="single" w:color="auto" w:sz="4" w:space="0"/>
              <w:bottom w:val="single" w:color="auto" w:sz="4" w:space="0"/>
            </w:tcBorders>
            <w:vAlign w:val="bottom"/>
          </w:tcPr>
          <w:p>
            <w:pPr>
              <w:jc w:val="right"/>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308,136.00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026" w:type="pct"/>
            <w:tcBorders>
              <w:top w:val="single" w:color="auto" w:sz="4" w:space="0"/>
              <w:bottom w:val="single" w:color="auto" w:sz="12" w:space="0"/>
            </w:tcBorders>
            <w:vAlign w:val="bottom"/>
          </w:tcPr>
          <w:p>
            <w:pPr>
              <w:rPr>
                <w:rFonts w:cs="宋体"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海南伟隆投资有限公司</w:t>
            </w:r>
          </w:p>
        </w:tc>
        <w:tc>
          <w:tcPr>
            <w:tcW w:w="586" w:type="pct"/>
            <w:tcBorders>
              <w:top w:val="single" w:color="auto" w:sz="4" w:space="0"/>
              <w:bottom w:val="single" w:color="auto" w:sz="12"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成本法</w:t>
            </w:r>
          </w:p>
        </w:tc>
        <w:tc>
          <w:tcPr>
            <w:tcW w:w="860" w:type="pct"/>
            <w:tcBorders>
              <w:top w:val="single" w:color="auto" w:sz="4" w:space="0"/>
              <w:bottom w:val="single" w:color="auto" w:sz="12" w:space="0"/>
            </w:tcBorders>
            <w:vAlign w:val="bottom"/>
          </w:tcPr>
          <w:p>
            <w:pPr>
              <w:jc w:val="right"/>
              <w:rPr>
                <w:rFonts w:cs="宋体" w:asciiTheme="majorEastAsia" w:hAnsiTheme="majorEastAsia" w:eastAsiaTheme="majorEastAsia"/>
                <w:color w:val="auto"/>
                <w:sz w:val="18"/>
                <w:szCs w:val="18"/>
              </w:rPr>
            </w:pPr>
            <w:r>
              <w:rPr>
                <w:rFonts w:asciiTheme="majorEastAsia" w:hAnsiTheme="majorEastAsia" w:eastAsiaTheme="majorEastAsia"/>
                <w:color w:val="auto"/>
                <w:sz w:val="18"/>
                <w:szCs w:val="18"/>
              </w:rPr>
              <w:t>60,000,000.00</w:t>
            </w:r>
          </w:p>
        </w:tc>
        <w:tc>
          <w:tcPr>
            <w:tcW w:w="860" w:type="pct"/>
            <w:tcBorders>
              <w:top w:val="single" w:color="auto" w:sz="4" w:space="0"/>
              <w:bottom w:val="single" w:color="auto" w:sz="12" w:space="0"/>
            </w:tcBorders>
            <w:vAlign w:val="bottom"/>
          </w:tcPr>
          <w:p>
            <w:pPr>
              <w:jc w:val="right"/>
              <w:rPr>
                <w:rFonts w:cs="宋体" w:asciiTheme="majorEastAsia" w:hAnsiTheme="majorEastAsia" w:eastAsiaTheme="majorEastAsia"/>
                <w:color w:val="auto"/>
                <w:sz w:val="18"/>
                <w:szCs w:val="18"/>
              </w:rPr>
            </w:pPr>
          </w:p>
        </w:tc>
        <w:tc>
          <w:tcPr>
            <w:tcW w:w="807" w:type="pct"/>
            <w:tcBorders>
              <w:top w:val="single" w:color="auto" w:sz="4" w:space="0"/>
              <w:bottom w:val="single" w:color="auto" w:sz="12" w:space="0"/>
            </w:tcBorders>
            <w:vAlign w:val="bottom"/>
          </w:tcPr>
          <w:p>
            <w:pPr>
              <w:jc w:val="right"/>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60,000,000.00</w:t>
            </w:r>
          </w:p>
        </w:tc>
        <w:tc>
          <w:tcPr>
            <w:tcW w:w="860" w:type="pct"/>
            <w:tcBorders>
              <w:top w:val="single" w:color="auto" w:sz="4" w:space="0"/>
              <w:bottom w:val="single" w:color="auto" w:sz="12" w:space="0"/>
            </w:tcBorders>
            <w:vAlign w:val="bottom"/>
          </w:tcPr>
          <w:p>
            <w:pPr>
              <w:jc w:val="right"/>
              <w:rPr>
                <w:rFonts w:cs="宋体" w:asciiTheme="majorEastAsia" w:hAnsiTheme="majorEastAsia" w:eastAsiaTheme="majorEastAsia"/>
                <w:color w:val="auto"/>
                <w:sz w:val="18"/>
                <w:szCs w:val="18"/>
              </w:rPr>
            </w:pPr>
            <w:r>
              <w:rPr>
                <w:rFonts w:cs="宋体" w:asciiTheme="majorEastAsia" w:hAnsiTheme="majorEastAsia" w:eastAsiaTheme="majorEastAsia"/>
                <w:color w:val="auto"/>
                <w:sz w:val="18"/>
                <w:szCs w:val="18"/>
              </w:rPr>
              <w:t>60,000,000.00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026" w:type="pct"/>
            <w:tcBorders>
              <w:top w:val="single" w:color="auto" w:sz="12" w:space="0"/>
              <w:bottom w:val="single" w:color="auto" w:sz="12" w:space="0"/>
            </w:tcBorders>
            <w:vAlign w:val="bottom"/>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合计</w:t>
            </w:r>
          </w:p>
        </w:tc>
        <w:tc>
          <w:tcPr>
            <w:tcW w:w="586" w:type="pct"/>
            <w:tcBorders>
              <w:top w:val="single" w:color="auto" w:sz="12" w:space="0"/>
              <w:bottom w:val="single" w:color="auto" w:sz="12" w:space="0"/>
            </w:tcBorders>
            <w:vAlign w:val="bottom"/>
          </w:tcPr>
          <w:p>
            <w:pPr>
              <w:jc w:val="center"/>
              <w:rPr>
                <w:rFonts w:cs="宋体" w:asciiTheme="minorEastAsia" w:hAnsiTheme="minorEastAsia" w:eastAsiaTheme="minorEastAsia"/>
                <w:b/>
                <w:bCs/>
                <w:color w:val="auto"/>
                <w:sz w:val="18"/>
                <w:szCs w:val="18"/>
              </w:rPr>
            </w:pPr>
          </w:p>
        </w:tc>
        <w:tc>
          <w:tcPr>
            <w:tcW w:w="860" w:type="pct"/>
            <w:tcBorders>
              <w:top w:val="single" w:color="auto" w:sz="12" w:space="0"/>
              <w:bottom w:val="single" w:color="auto" w:sz="12" w:space="0"/>
            </w:tcBorders>
            <w:vAlign w:val="bottom"/>
          </w:tcPr>
          <w:p>
            <w:pPr>
              <w:jc w:val="right"/>
              <w:rPr>
                <w:rFonts w:cs="宋体" w:asciiTheme="majorEastAsia" w:hAnsiTheme="majorEastAsia" w:eastAsiaTheme="majorEastAsia"/>
                <w:b/>
                <w:bCs/>
                <w:color w:val="auto"/>
                <w:sz w:val="18"/>
                <w:szCs w:val="18"/>
              </w:rPr>
            </w:pPr>
            <w:r>
              <w:rPr>
                <w:rFonts w:cs="宋体" w:asciiTheme="majorEastAsia" w:hAnsiTheme="majorEastAsia" w:eastAsiaTheme="majorEastAsia"/>
                <w:b/>
                <w:bCs/>
                <w:color w:val="auto"/>
                <w:sz w:val="18"/>
                <w:szCs w:val="18"/>
              </w:rPr>
              <w:t>302,362,726.25</w:t>
            </w:r>
          </w:p>
        </w:tc>
        <w:tc>
          <w:tcPr>
            <w:tcW w:w="860" w:type="pct"/>
            <w:tcBorders>
              <w:top w:val="single" w:color="auto" w:sz="12" w:space="0"/>
              <w:bottom w:val="single" w:color="auto" w:sz="12" w:space="0"/>
            </w:tcBorders>
            <w:vAlign w:val="bottom"/>
          </w:tcPr>
          <w:p>
            <w:pPr>
              <w:jc w:val="right"/>
              <w:rPr>
                <w:rFonts w:cs="宋体" w:asciiTheme="majorEastAsia" w:hAnsiTheme="majorEastAsia" w:eastAsiaTheme="majorEastAsia"/>
                <w:b/>
                <w:color w:val="auto"/>
                <w:sz w:val="18"/>
                <w:szCs w:val="18"/>
              </w:rPr>
            </w:pPr>
            <w:r>
              <w:rPr>
                <w:rFonts w:cs="宋体" w:asciiTheme="majorEastAsia" w:hAnsiTheme="majorEastAsia" w:eastAsiaTheme="majorEastAsia"/>
                <w:b/>
                <w:bCs/>
                <w:color w:val="auto"/>
                <w:sz w:val="18"/>
                <w:szCs w:val="18"/>
              </w:rPr>
              <w:t>242,362,726.25</w:t>
            </w:r>
          </w:p>
        </w:tc>
        <w:tc>
          <w:tcPr>
            <w:tcW w:w="807" w:type="pct"/>
            <w:tcBorders>
              <w:top w:val="single" w:color="auto" w:sz="12" w:space="0"/>
              <w:bottom w:val="single" w:color="auto" w:sz="12" w:space="0"/>
            </w:tcBorders>
            <w:vAlign w:val="bottom"/>
          </w:tcPr>
          <w:p>
            <w:pPr>
              <w:jc w:val="right"/>
              <w:rPr>
                <w:rFonts w:cs="宋体" w:asciiTheme="majorEastAsia" w:hAnsiTheme="majorEastAsia" w:eastAsiaTheme="majorEastAsia"/>
                <w:b/>
                <w:color w:val="auto"/>
                <w:sz w:val="18"/>
                <w:szCs w:val="18"/>
              </w:rPr>
            </w:pPr>
            <w:r>
              <w:rPr>
                <w:rFonts w:cs="宋体" w:asciiTheme="majorEastAsia" w:hAnsiTheme="majorEastAsia" w:eastAsiaTheme="majorEastAsia"/>
                <w:b/>
                <w:color w:val="auto"/>
                <w:sz w:val="18"/>
                <w:szCs w:val="18"/>
              </w:rPr>
              <w:t>51,752,163.13</w:t>
            </w:r>
          </w:p>
        </w:tc>
        <w:tc>
          <w:tcPr>
            <w:tcW w:w="860" w:type="pct"/>
            <w:tcBorders>
              <w:top w:val="single" w:color="auto" w:sz="12" w:space="0"/>
              <w:bottom w:val="single" w:color="auto" w:sz="12" w:space="0"/>
            </w:tcBorders>
            <w:vAlign w:val="bottom"/>
          </w:tcPr>
          <w:p>
            <w:pPr>
              <w:jc w:val="right"/>
              <w:rPr>
                <w:rFonts w:cs="宋体" w:asciiTheme="majorEastAsia" w:hAnsiTheme="majorEastAsia" w:eastAsiaTheme="majorEastAsia"/>
                <w:b/>
                <w:bCs/>
                <w:color w:val="auto"/>
                <w:sz w:val="18"/>
                <w:szCs w:val="18"/>
              </w:rPr>
            </w:pPr>
            <w:r>
              <w:rPr>
                <w:rFonts w:cs="宋体" w:asciiTheme="majorEastAsia" w:hAnsiTheme="majorEastAsia" w:eastAsiaTheme="majorEastAsia"/>
                <w:b/>
                <w:bCs/>
                <w:color w:val="auto"/>
                <w:sz w:val="18"/>
                <w:szCs w:val="18"/>
              </w:rPr>
              <w:t>294,114,889.38</w:t>
            </w:r>
          </w:p>
        </w:tc>
      </w:tr>
    </w:tbl>
    <w:p>
      <w:pPr>
        <w:spacing w:before="150" w:beforeLines="50" w:after="150" w:afterLines="50" w:line="360" w:lineRule="auto"/>
        <w:ind w:firstLine="482"/>
        <w:rPr>
          <w:rFonts w:ascii="宋体"/>
          <w:color w:val="auto"/>
          <w:szCs w:val="21"/>
        </w:rPr>
      </w:pPr>
      <w:r>
        <w:rPr>
          <w:rFonts w:hint="eastAsia" w:ascii="宋体" w:hAnsi="宋体"/>
          <w:color w:val="auto"/>
          <w:szCs w:val="21"/>
        </w:rPr>
        <w:t>（续）</w:t>
      </w:r>
    </w:p>
    <w:tbl>
      <w:tblPr>
        <w:tblStyle w:val="9"/>
        <w:tblW w:w="4941" w:type="pct"/>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1531"/>
        <w:gridCol w:w="1993"/>
        <w:gridCol w:w="1379"/>
        <w:gridCol w:w="1227"/>
        <w:gridCol w:w="16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987" w:type="pct"/>
            <w:tcBorders>
              <w:top w:val="single" w:color="auto" w:sz="12" w:space="0"/>
              <w:bottom w:val="single" w:color="auto" w:sz="12" w:space="0"/>
            </w:tcBorders>
            <w:vAlign w:val="center"/>
          </w:tcPr>
          <w:p>
            <w:pPr>
              <w:jc w:val="center"/>
              <w:rPr>
                <w:rFonts w:ascii="宋体" w:hAnsi="宋体"/>
                <w:b/>
                <w:color w:val="auto"/>
                <w:sz w:val="18"/>
                <w:szCs w:val="18"/>
              </w:rPr>
            </w:pPr>
            <w:r>
              <w:rPr>
                <w:rFonts w:hint="eastAsia" w:ascii="宋体" w:hAnsi="宋体"/>
                <w:b/>
                <w:color w:val="auto"/>
                <w:kern w:val="0"/>
                <w:sz w:val="18"/>
                <w:szCs w:val="18"/>
              </w:rPr>
              <w:t>在被投资单位持股比例</w:t>
            </w:r>
            <w:r>
              <w:rPr>
                <w:rFonts w:ascii="宋体" w:hAnsi="宋体"/>
                <w:b/>
                <w:color w:val="auto"/>
                <w:sz w:val="18"/>
                <w:szCs w:val="18"/>
              </w:rPr>
              <w:t>（%）</w:t>
            </w:r>
          </w:p>
        </w:tc>
        <w:tc>
          <w:tcPr>
            <w:tcW w:w="786" w:type="pct"/>
            <w:tcBorders>
              <w:top w:val="single" w:color="auto" w:sz="12" w:space="0"/>
              <w:bottom w:val="single" w:color="auto" w:sz="12" w:space="0"/>
            </w:tcBorders>
            <w:vAlign w:val="center"/>
          </w:tcPr>
          <w:p>
            <w:pPr>
              <w:jc w:val="center"/>
              <w:rPr>
                <w:rFonts w:ascii="宋体" w:hAnsi="宋体"/>
                <w:b/>
                <w:color w:val="auto"/>
                <w:sz w:val="18"/>
                <w:szCs w:val="18"/>
              </w:rPr>
            </w:pPr>
            <w:r>
              <w:rPr>
                <w:rFonts w:hint="eastAsia" w:ascii="宋体" w:hAnsi="宋体"/>
                <w:b/>
                <w:color w:val="auto"/>
                <w:kern w:val="0"/>
                <w:sz w:val="18"/>
                <w:szCs w:val="18"/>
              </w:rPr>
              <w:t>在被投资单位表决权比例</w:t>
            </w:r>
            <w:r>
              <w:rPr>
                <w:rFonts w:ascii="宋体" w:hAnsi="宋体"/>
                <w:b/>
                <w:color w:val="auto"/>
                <w:sz w:val="18"/>
                <w:szCs w:val="18"/>
              </w:rPr>
              <w:t>（%）</w:t>
            </w:r>
          </w:p>
        </w:tc>
        <w:tc>
          <w:tcPr>
            <w:tcW w:w="1023" w:type="pct"/>
            <w:tcBorders>
              <w:top w:val="single" w:color="auto" w:sz="12" w:space="0"/>
              <w:bottom w:val="single" w:color="auto" w:sz="12" w:space="0"/>
            </w:tcBorders>
            <w:vAlign w:val="center"/>
          </w:tcPr>
          <w:p>
            <w:pPr>
              <w:jc w:val="center"/>
              <w:rPr>
                <w:rFonts w:ascii="宋体" w:hAnsi="宋体"/>
                <w:b/>
                <w:color w:val="auto"/>
                <w:sz w:val="18"/>
                <w:szCs w:val="18"/>
              </w:rPr>
            </w:pPr>
            <w:r>
              <w:rPr>
                <w:rFonts w:hint="eastAsia" w:ascii="宋体" w:hAnsi="宋体"/>
                <w:b/>
                <w:color w:val="auto"/>
                <w:kern w:val="0"/>
                <w:sz w:val="18"/>
                <w:szCs w:val="18"/>
              </w:rPr>
              <w:t>在被投资单位持股比例与表决权比例不一致的说明</w:t>
            </w:r>
          </w:p>
        </w:tc>
        <w:tc>
          <w:tcPr>
            <w:tcW w:w="708" w:type="pct"/>
            <w:tcBorders>
              <w:top w:val="single" w:color="auto" w:sz="12" w:space="0"/>
              <w:bottom w:val="single" w:color="auto" w:sz="12" w:space="0"/>
            </w:tcBorders>
            <w:vAlign w:val="center"/>
          </w:tcPr>
          <w:p>
            <w:pPr>
              <w:jc w:val="center"/>
              <w:rPr>
                <w:rFonts w:ascii="宋体" w:hAnsi="宋体"/>
                <w:b/>
                <w:color w:val="auto"/>
                <w:kern w:val="0"/>
                <w:sz w:val="18"/>
                <w:szCs w:val="18"/>
              </w:rPr>
            </w:pPr>
            <w:r>
              <w:rPr>
                <w:rFonts w:hint="eastAsia" w:ascii="宋体" w:hAnsi="宋体"/>
                <w:b/>
                <w:color w:val="auto"/>
                <w:kern w:val="0"/>
                <w:sz w:val="18"/>
                <w:szCs w:val="18"/>
              </w:rPr>
              <w:t>减值准备</w:t>
            </w:r>
          </w:p>
        </w:tc>
        <w:tc>
          <w:tcPr>
            <w:tcW w:w="630" w:type="pct"/>
            <w:tcBorders>
              <w:top w:val="single" w:color="auto" w:sz="12" w:space="0"/>
              <w:bottom w:val="single" w:color="auto" w:sz="12" w:space="0"/>
            </w:tcBorders>
            <w:vAlign w:val="center"/>
          </w:tcPr>
          <w:p>
            <w:pPr>
              <w:jc w:val="center"/>
              <w:rPr>
                <w:rFonts w:ascii="宋体" w:hAnsi="宋体"/>
                <w:b/>
                <w:color w:val="auto"/>
                <w:kern w:val="0"/>
                <w:sz w:val="18"/>
                <w:szCs w:val="18"/>
              </w:rPr>
            </w:pPr>
            <w:r>
              <w:rPr>
                <w:rFonts w:hint="eastAsia" w:ascii="宋体" w:hAnsi="宋体"/>
                <w:b/>
                <w:color w:val="auto"/>
                <w:kern w:val="0"/>
                <w:sz w:val="18"/>
                <w:szCs w:val="18"/>
              </w:rPr>
              <w:t>本期计提减值准备</w:t>
            </w:r>
          </w:p>
        </w:tc>
        <w:tc>
          <w:tcPr>
            <w:tcW w:w="865" w:type="pct"/>
            <w:tcBorders>
              <w:top w:val="single" w:color="auto" w:sz="12" w:space="0"/>
              <w:bottom w:val="single" w:color="auto" w:sz="12" w:space="0"/>
            </w:tcBorders>
            <w:vAlign w:val="center"/>
          </w:tcPr>
          <w:p>
            <w:pPr>
              <w:jc w:val="center"/>
              <w:rPr>
                <w:rFonts w:ascii="宋体"/>
                <w:b/>
                <w:color w:val="auto"/>
                <w:sz w:val="18"/>
                <w:szCs w:val="18"/>
              </w:rPr>
            </w:pPr>
            <w:r>
              <w:rPr>
                <w:rFonts w:hint="eastAsia" w:ascii="宋体" w:hAnsi="宋体"/>
                <w:b/>
                <w:color w:val="auto"/>
                <w:kern w:val="0"/>
                <w:sz w:val="18"/>
                <w:szCs w:val="18"/>
              </w:rPr>
              <w:t>本期现金红利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pct"/>
            <w:tcBorders>
              <w:top w:val="single" w:color="auto" w:sz="12" w:space="0"/>
              <w:bottom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100.00</w:t>
            </w:r>
          </w:p>
        </w:tc>
        <w:tc>
          <w:tcPr>
            <w:tcW w:w="786" w:type="pct"/>
            <w:tcBorders>
              <w:top w:val="single" w:color="auto" w:sz="12" w:space="0"/>
              <w:bottom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100.00</w:t>
            </w:r>
          </w:p>
        </w:tc>
        <w:tc>
          <w:tcPr>
            <w:tcW w:w="1023" w:type="pct"/>
            <w:tcBorders>
              <w:top w:val="single" w:color="auto" w:sz="12"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708" w:type="pct"/>
            <w:tcBorders>
              <w:top w:val="single" w:color="auto" w:sz="12"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630" w:type="pct"/>
            <w:tcBorders>
              <w:top w:val="single" w:color="auto" w:sz="12"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865" w:type="pct"/>
            <w:tcBorders>
              <w:top w:val="single" w:color="auto" w:sz="12"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pct"/>
            <w:tcBorders>
              <w:top w:val="single" w:color="auto" w:sz="4" w:space="0"/>
              <w:bottom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100.00</w:t>
            </w:r>
          </w:p>
        </w:tc>
        <w:tc>
          <w:tcPr>
            <w:tcW w:w="786" w:type="pct"/>
            <w:tcBorders>
              <w:top w:val="single" w:color="auto" w:sz="4" w:space="0"/>
              <w:bottom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100.00</w:t>
            </w:r>
          </w:p>
        </w:tc>
        <w:tc>
          <w:tcPr>
            <w:tcW w:w="1023"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708"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630"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865" w:type="pct"/>
            <w:tcBorders>
              <w:top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987" w:type="pct"/>
            <w:tcBorders>
              <w:top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100.00</w:t>
            </w:r>
          </w:p>
        </w:tc>
        <w:tc>
          <w:tcPr>
            <w:tcW w:w="786" w:type="pct"/>
            <w:tcBorders>
              <w:top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100.00</w:t>
            </w:r>
          </w:p>
        </w:tc>
        <w:tc>
          <w:tcPr>
            <w:tcW w:w="1023" w:type="pct"/>
            <w:tcBorders>
              <w:top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708" w:type="pct"/>
            <w:tcBorders>
              <w:top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630" w:type="pct"/>
            <w:tcBorders>
              <w:top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865" w:type="pct"/>
            <w:tcBorders>
              <w:top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987" w:type="pct"/>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100.00</w:t>
            </w:r>
          </w:p>
        </w:tc>
        <w:tc>
          <w:tcPr>
            <w:tcW w:w="786" w:type="pct"/>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100.00</w:t>
            </w:r>
          </w:p>
        </w:tc>
        <w:tc>
          <w:tcPr>
            <w:tcW w:w="1023" w:type="pct"/>
            <w:vAlign w:val="bottom"/>
          </w:tcPr>
          <w:p>
            <w:pPr>
              <w:jc w:val="right"/>
              <w:rPr>
                <w:rFonts w:asciiTheme="minorEastAsia" w:hAnsiTheme="minorEastAsia" w:eastAsiaTheme="minorEastAsia"/>
                <w:color w:val="auto"/>
                <w:sz w:val="18"/>
                <w:szCs w:val="18"/>
              </w:rPr>
            </w:pPr>
          </w:p>
        </w:tc>
        <w:tc>
          <w:tcPr>
            <w:tcW w:w="708" w:type="pct"/>
            <w:vAlign w:val="bottom"/>
          </w:tcPr>
          <w:p>
            <w:pPr>
              <w:jc w:val="right"/>
              <w:rPr>
                <w:rFonts w:asciiTheme="minorEastAsia" w:hAnsiTheme="minorEastAsia" w:eastAsiaTheme="minorEastAsia"/>
                <w:color w:val="auto"/>
                <w:sz w:val="18"/>
                <w:szCs w:val="18"/>
              </w:rPr>
            </w:pPr>
          </w:p>
        </w:tc>
        <w:tc>
          <w:tcPr>
            <w:tcW w:w="630" w:type="pct"/>
            <w:vAlign w:val="bottom"/>
          </w:tcPr>
          <w:p>
            <w:pPr>
              <w:jc w:val="right"/>
              <w:rPr>
                <w:rFonts w:asciiTheme="minorEastAsia" w:hAnsiTheme="minorEastAsia" w:eastAsiaTheme="minorEastAsia"/>
                <w:color w:val="auto"/>
                <w:sz w:val="18"/>
                <w:szCs w:val="18"/>
              </w:rPr>
            </w:pPr>
          </w:p>
        </w:tc>
        <w:tc>
          <w:tcPr>
            <w:tcW w:w="865" w:type="pct"/>
            <w:vAlign w:val="bottom"/>
          </w:tcPr>
          <w:p>
            <w:pPr>
              <w:jc w:val="right"/>
              <w:rPr>
                <w:rFonts w:asciiTheme="minorEastAsia" w:hAnsiTheme="minorEastAsia" w:eastAsiaTheme="minorEastAsia"/>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987" w:type="pct"/>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100.00</w:t>
            </w:r>
          </w:p>
        </w:tc>
        <w:tc>
          <w:tcPr>
            <w:tcW w:w="786" w:type="pct"/>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100.00</w:t>
            </w:r>
          </w:p>
        </w:tc>
        <w:tc>
          <w:tcPr>
            <w:tcW w:w="1023" w:type="pct"/>
            <w:vAlign w:val="bottom"/>
          </w:tcPr>
          <w:p>
            <w:pPr>
              <w:jc w:val="right"/>
              <w:rPr>
                <w:rFonts w:asciiTheme="minorEastAsia" w:hAnsiTheme="minorEastAsia" w:eastAsiaTheme="minorEastAsia"/>
                <w:color w:val="auto"/>
                <w:sz w:val="18"/>
                <w:szCs w:val="18"/>
              </w:rPr>
            </w:pPr>
          </w:p>
        </w:tc>
        <w:tc>
          <w:tcPr>
            <w:tcW w:w="708" w:type="pct"/>
            <w:vAlign w:val="bottom"/>
          </w:tcPr>
          <w:p>
            <w:pPr>
              <w:jc w:val="right"/>
              <w:rPr>
                <w:rFonts w:asciiTheme="minorEastAsia" w:hAnsiTheme="minorEastAsia" w:eastAsiaTheme="minorEastAsia"/>
                <w:color w:val="auto"/>
                <w:sz w:val="18"/>
                <w:szCs w:val="18"/>
              </w:rPr>
            </w:pPr>
          </w:p>
        </w:tc>
        <w:tc>
          <w:tcPr>
            <w:tcW w:w="630" w:type="pct"/>
            <w:vAlign w:val="bottom"/>
          </w:tcPr>
          <w:p>
            <w:pPr>
              <w:jc w:val="right"/>
              <w:rPr>
                <w:rFonts w:asciiTheme="minorEastAsia" w:hAnsiTheme="minorEastAsia" w:eastAsiaTheme="minorEastAsia"/>
                <w:color w:val="auto"/>
                <w:sz w:val="18"/>
                <w:szCs w:val="18"/>
              </w:rPr>
            </w:pPr>
          </w:p>
        </w:tc>
        <w:tc>
          <w:tcPr>
            <w:tcW w:w="865" w:type="pct"/>
            <w:vAlign w:val="bottom"/>
          </w:tcPr>
          <w:p>
            <w:pPr>
              <w:jc w:val="right"/>
              <w:rPr>
                <w:rFonts w:asciiTheme="minorEastAsia" w:hAnsiTheme="minorEastAsia" w:eastAsiaTheme="minorEastAsia"/>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987" w:type="pct"/>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100.00</w:t>
            </w:r>
          </w:p>
        </w:tc>
        <w:tc>
          <w:tcPr>
            <w:tcW w:w="786" w:type="pct"/>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100.00</w:t>
            </w:r>
          </w:p>
        </w:tc>
        <w:tc>
          <w:tcPr>
            <w:tcW w:w="1023" w:type="pct"/>
            <w:vAlign w:val="bottom"/>
          </w:tcPr>
          <w:p>
            <w:pPr>
              <w:jc w:val="right"/>
              <w:rPr>
                <w:rFonts w:asciiTheme="minorEastAsia" w:hAnsiTheme="minorEastAsia" w:eastAsiaTheme="minorEastAsia"/>
                <w:color w:val="auto"/>
                <w:sz w:val="18"/>
                <w:szCs w:val="18"/>
              </w:rPr>
            </w:pPr>
          </w:p>
        </w:tc>
        <w:tc>
          <w:tcPr>
            <w:tcW w:w="708" w:type="pct"/>
            <w:vAlign w:val="bottom"/>
          </w:tcPr>
          <w:p>
            <w:pPr>
              <w:jc w:val="right"/>
              <w:rPr>
                <w:rFonts w:asciiTheme="minorEastAsia" w:hAnsiTheme="minorEastAsia" w:eastAsiaTheme="minorEastAsia"/>
                <w:color w:val="auto"/>
                <w:sz w:val="18"/>
                <w:szCs w:val="18"/>
              </w:rPr>
            </w:pPr>
          </w:p>
        </w:tc>
        <w:tc>
          <w:tcPr>
            <w:tcW w:w="630" w:type="pct"/>
            <w:vAlign w:val="bottom"/>
          </w:tcPr>
          <w:p>
            <w:pPr>
              <w:jc w:val="right"/>
              <w:rPr>
                <w:rFonts w:asciiTheme="minorEastAsia" w:hAnsiTheme="minorEastAsia" w:eastAsiaTheme="minorEastAsia"/>
                <w:color w:val="auto"/>
                <w:sz w:val="18"/>
                <w:szCs w:val="18"/>
              </w:rPr>
            </w:pPr>
          </w:p>
        </w:tc>
        <w:tc>
          <w:tcPr>
            <w:tcW w:w="865" w:type="pct"/>
            <w:vAlign w:val="bottom"/>
          </w:tcPr>
          <w:p>
            <w:pPr>
              <w:jc w:val="right"/>
              <w:rPr>
                <w:rFonts w:asciiTheme="minorEastAsia" w:hAnsiTheme="minorEastAsia" w:eastAsiaTheme="minorEastAsia"/>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987" w:type="pct"/>
            <w:tcBorders>
              <w:bottom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100.00</w:t>
            </w:r>
          </w:p>
        </w:tc>
        <w:tc>
          <w:tcPr>
            <w:tcW w:w="786" w:type="pct"/>
            <w:tcBorders>
              <w:bottom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100.00</w:t>
            </w:r>
          </w:p>
        </w:tc>
        <w:tc>
          <w:tcPr>
            <w:tcW w:w="1023" w:type="pct"/>
            <w:tcBorders>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708" w:type="pct"/>
            <w:tcBorders>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630" w:type="pct"/>
            <w:tcBorders>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865" w:type="pct"/>
            <w:tcBorders>
              <w:bottom w:val="single" w:color="auto" w:sz="4"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987" w:type="pct"/>
            <w:tcBorders>
              <w:top w:val="single" w:color="auto" w:sz="4" w:space="0"/>
              <w:bottom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100.00</w:t>
            </w:r>
          </w:p>
        </w:tc>
        <w:tc>
          <w:tcPr>
            <w:tcW w:w="786" w:type="pct"/>
            <w:tcBorders>
              <w:top w:val="single" w:color="auto" w:sz="4" w:space="0"/>
              <w:bottom w:val="single" w:color="auto" w:sz="4" w:space="0"/>
            </w:tcBorders>
            <w:vAlign w:val="bottom"/>
          </w:tcPr>
          <w:p>
            <w:pPr>
              <w:jc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100.00</w:t>
            </w:r>
          </w:p>
        </w:tc>
        <w:tc>
          <w:tcPr>
            <w:tcW w:w="1023" w:type="pct"/>
            <w:tcBorders>
              <w:top w:val="single" w:color="auto" w:sz="4" w:space="0"/>
              <w:bottom w:val="single" w:color="auto" w:sz="4" w:space="0"/>
            </w:tcBorders>
            <w:vAlign w:val="bottom"/>
          </w:tcPr>
          <w:p>
            <w:pPr>
              <w:jc w:val="righ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708" w:type="pct"/>
            <w:tcBorders>
              <w:top w:val="single" w:color="auto" w:sz="4" w:space="0"/>
              <w:bottom w:val="single" w:color="auto" w:sz="4" w:space="0"/>
            </w:tcBorders>
            <w:vAlign w:val="bottom"/>
          </w:tcPr>
          <w:p>
            <w:pPr>
              <w:jc w:val="righ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630" w:type="pct"/>
            <w:tcBorders>
              <w:top w:val="single" w:color="auto" w:sz="4" w:space="0"/>
              <w:bottom w:val="single" w:color="auto" w:sz="4" w:space="0"/>
            </w:tcBorders>
            <w:vAlign w:val="bottom"/>
          </w:tcPr>
          <w:p>
            <w:pPr>
              <w:jc w:val="righ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865" w:type="pct"/>
            <w:tcBorders>
              <w:top w:val="single" w:color="auto" w:sz="4" w:space="0"/>
              <w:bottom w:val="single" w:color="auto" w:sz="4" w:space="0"/>
            </w:tcBorders>
            <w:vAlign w:val="bottom"/>
          </w:tcPr>
          <w:p>
            <w:pPr>
              <w:jc w:val="righ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987" w:type="pct"/>
            <w:tcBorders>
              <w:top w:val="single" w:color="auto" w:sz="4" w:space="0"/>
              <w:bottom w:val="single" w:color="auto" w:sz="12" w:space="0"/>
            </w:tcBorders>
            <w:vAlign w:val="bottom"/>
          </w:tcPr>
          <w:p>
            <w:pPr>
              <w:jc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60.00</w:t>
            </w:r>
          </w:p>
        </w:tc>
        <w:tc>
          <w:tcPr>
            <w:tcW w:w="786" w:type="pct"/>
            <w:tcBorders>
              <w:top w:val="single" w:color="auto" w:sz="4" w:space="0"/>
              <w:bottom w:val="single" w:color="auto" w:sz="12" w:space="0"/>
            </w:tcBorders>
            <w:vAlign w:val="bottom"/>
          </w:tcPr>
          <w:p>
            <w:pPr>
              <w:jc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60.00</w:t>
            </w:r>
          </w:p>
        </w:tc>
        <w:tc>
          <w:tcPr>
            <w:tcW w:w="1023" w:type="pct"/>
            <w:tcBorders>
              <w:top w:val="single" w:color="auto" w:sz="4" w:space="0"/>
              <w:bottom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708" w:type="pct"/>
            <w:tcBorders>
              <w:top w:val="single" w:color="auto" w:sz="4" w:space="0"/>
              <w:bottom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630" w:type="pct"/>
            <w:tcBorders>
              <w:top w:val="single" w:color="auto" w:sz="4" w:space="0"/>
              <w:bottom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865" w:type="pct"/>
            <w:tcBorders>
              <w:top w:val="single" w:color="auto" w:sz="4" w:space="0"/>
              <w:bottom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987" w:type="pct"/>
            <w:tcBorders>
              <w:top w:val="single" w:color="auto" w:sz="12" w:space="0"/>
              <w:bottom w:val="single" w:color="auto" w:sz="12" w:space="0"/>
            </w:tcBorders>
            <w:vAlign w:val="bottom"/>
          </w:tcPr>
          <w:p>
            <w:pPr>
              <w:jc w:val="center"/>
              <w:rPr>
                <w:rFonts w:cs="宋体" w:asciiTheme="minorEastAsia" w:hAnsiTheme="minorEastAsia" w:eastAsiaTheme="minorEastAsia"/>
                <w:b/>
                <w:bCs/>
                <w:color w:val="auto"/>
                <w:sz w:val="18"/>
                <w:szCs w:val="18"/>
              </w:rPr>
            </w:pPr>
          </w:p>
        </w:tc>
        <w:tc>
          <w:tcPr>
            <w:tcW w:w="786" w:type="pct"/>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w:t>
            </w:r>
          </w:p>
        </w:tc>
        <w:tc>
          <w:tcPr>
            <w:tcW w:w="1023" w:type="pct"/>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w:t>
            </w:r>
          </w:p>
        </w:tc>
        <w:tc>
          <w:tcPr>
            <w:tcW w:w="708" w:type="pct"/>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w:t>
            </w:r>
          </w:p>
        </w:tc>
        <w:tc>
          <w:tcPr>
            <w:tcW w:w="630" w:type="pct"/>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w:t>
            </w:r>
          </w:p>
        </w:tc>
        <w:tc>
          <w:tcPr>
            <w:tcW w:w="865" w:type="pct"/>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w:t>
            </w:r>
          </w:p>
        </w:tc>
      </w:tr>
    </w:tbl>
    <w:p>
      <w:pPr>
        <w:pStyle w:val="5"/>
        <w:numPr>
          <w:ilvl w:val="0"/>
          <w:numId w:val="3"/>
        </w:numPr>
        <w:spacing w:before="150" w:beforeLines="50" w:after="150" w:afterLines="50" w:line="360" w:lineRule="auto"/>
        <w:outlineLvl w:val="1"/>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营业收入及营业成本</w:t>
      </w:r>
    </w:p>
    <w:tbl>
      <w:tblPr>
        <w:tblStyle w:val="9"/>
        <w:tblW w:w="8931" w:type="dxa"/>
        <w:tblCaption w:val="&quot;\\lisheng\共享\1、伟隆2022年度审计\1、2022年度审计\1、附注及报告\2022年\附注计算-伟隆 - 2022.xlsx&quot; &quot;2022附注格式!_ReportTable_0123&quot;"/>
        <w:tblDescription w:val="A1112:E1116"/>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772"/>
        <w:gridCol w:w="1772"/>
        <w:gridCol w:w="1772"/>
        <w:gridCol w:w="17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843" w:type="dxa"/>
            <w:vMerge w:val="restart"/>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项目</w:t>
            </w:r>
          </w:p>
        </w:tc>
        <w:tc>
          <w:tcPr>
            <w:tcW w:w="3544" w:type="dxa"/>
            <w:gridSpan w:val="2"/>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本期发生额</w:t>
            </w:r>
          </w:p>
        </w:tc>
        <w:tc>
          <w:tcPr>
            <w:tcW w:w="3544" w:type="dxa"/>
            <w:gridSpan w:val="2"/>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上期发生额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3" w:type="dxa"/>
            <w:vMerge w:val="continue"/>
            <w:tcBorders>
              <w:bottom w:val="single" w:color="auto" w:sz="12" w:space="0"/>
            </w:tcBorders>
            <w:shd w:val="clear" w:color="auto" w:fill="auto"/>
          </w:tcPr>
          <w:p>
            <w:pPr>
              <w:jc w:val="center"/>
              <w:rPr>
                <w:rFonts w:ascii="宋体" w:hAnsi="宋体"/>
                <w:color w:val="auto"/>
                <w:kern w:val="0"/>
                <w:sz w:val="18"/>
                <w:szCs w:val="18"/>
              </w:rPr>
            </w:pPr>
          </w:p>
        </w:tc>
        <w:tc>
          <w:tcPr>
            <w:tcW w:w="1772" w:type="dxa"/>
            <w:tcBorders>
              <w:bottom w:val="single" w:color="auto" w:sz="12" w:space="0"/>
            </w:tcBorders>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收入</w:t>
            </w:r>
          </w:p>
        </w:tc>
        <w:tc>
          <w:tcPr>
            <w:tcW w:w="1772" w:type="dxa"/>
            <w:tcBorders>
              <w:bottom w:val="single" w:color="auto" w:sz="12" w:space="0"/>
            </w:tcBorders>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成本</w:t>
            </w:r>
          </w:p>
        </w:tc>
        <w:tc>
          <w:tcPr>
            <w:tcW w:w="1772" w:type="dxa"/>
            <w:tcBorders>
              <w:bottom w:val="single" w:color="auto" w:sz="12" w:space="0"/>
            </w:tcBorders>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收入</w:t>
            </w:r>
          </w:p>
        </w:tc>
        <w:tc>
          <w:tcPr>
            <w:tcW w:w="1772" w:type="dxa"/>
            <w:tcBorders>
              <w:bottom w:val="single" w:color="auto" w:sz="12" w:space="0"/>
            </w:tcBorders>
            <w:shd w:val="clear" w:color="auto" w:fill="auto"/>
            <w:vAlign w:val="center"/>
          </w:tcPr>
          <w:p>
            <w:pPr>
              <w:jc w:val="center"/>
              <w:rPr>
                <w:rFonts w:ascii="宋体" w:hAnsi="宋体"/>
                <w:b/>
                <w:color w:val="auto"/>
                <w:kern w:val="0"/>
                <w:sz w:val="18"/>
                <w:szCs w:val="18"/>
              </w:rPr>
            </w:pPr>
            <w:r>
              <w:rPr>
                <w:rFonts w:hint="eastAsia" w:ascii="宋体" w:hAnsi="宋体"/>
                <w:b/>
                <w:color w:val="auto"/>
                <w:kern w:val="0"/>
                <w:sz w:val="18"/>
                <w:szCs w:val="18"/>
              </w:rPr>
              <w:t>成本</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3" w:type="dxa"/>
            <w:tcBorders>
              <w:top w:val="single" w:color="auto" w:sz="12" w:space="0"/>
              <w:bottom w:val="single" w:color="auto" w:sz="4" w:space="0"/>
            </w:tcBorders>
            <w:shd w:val="clear" w:color="auto" w:fill="auto"/>
            <w:vAlign w:val="bottom"/>
          </w:tcPr>
          <w:p>
            <w:pPr>
              <w:rPr>
                <w:rFonts w:ascii="宋体" w:hAnsi="宋体"/>
                <w:color w:val="auto"/>
                <w:kern w:val="0"/>
                <w:sz w:val="18"/>
                <w:szCs w:val="18"/>
              </w:rPr>
            </w:pPr>
            <w:r>
              <w:rPr>
                <w:rFonts w:hint="eastAsia" w:ascii="宋体" w:hAnsi="宋体"/>
                <w:color w:val="auto"/>
                <w:kern w:val="0"/>
                <w:sz w:val="18"/>
                <w:szCs w:val="18"/>
              </w:rPr>
              <w:t>主营业务</w:t>
            </w:r>
          </w:p>
        </w:tc>
        <w:tc>
          <w:tcPr>
            <w:tcW w:w="1772" w:type="dxa"/>
            <w:tcBorders>
              <w:top w:val="single" w:color="auto" w:sz="12" w:space="0"/>
              <w:bottom w:val="single" w:color="auto" w:sz="4" w:space="0"/>
            </w:tcBorders>
            <w:shd w:val="clear" w:color="auto" w:fill="auto"/>
            <w:vAlign w:val="bottom"/>
          </w:tcPr>
          <w:p>
            <w:pPr>
              <w:jc w:val="right"/>
              <w:rPr>
                <w:rFonts w:ascii="宋体" w:hAnsi="宋体" w:cs="宋体"/>
                <w:color w:val="auto"/>
                <w:sz w:val="18"/>
                <w:szCs w:val="18"/>
              </w:rPr>
            </w:pPr>
            <w:r>
              <w:rPr>
                <w:rFonts w:ascii="宋体" w:hAnsi="宋体"/>
                <w:color w:val="auto"/>
                <w:sz w:val="18"/>
                <w:szCs w:val="18"/>
              </w:rPr>
              <w:t>518,060,975.09</w:t>
            </w:r>
          </w:p>
        </w:tc>
        <w:tc>
          <w:tcPr>
            <w:tcW w:w="1772" w:type="dxa"/>
            <w:tcBorders>
              <w:top w:val="single" w:color="auto" w:sz="12" w:space="0"/>
              <w:bottom w:val="single" w:color="auto" w:sz="4" w:space="0"/>
            </w:tcBorders>
            <w:shd w:val="clear" w:color="auto" w:fill="auto"/>
            <w:vAlign w:val="bottom"/>
          </w:tcPr>
          <w:p>
            <w:pPr>
              <w:jc w:val="right"/>
              <w:rPr>
                <w:rFonts w:ascii="宋体" w:hAnsi="宋体" w:cs="宋体"/>
                <w:color w:val="auto"/>
                <w:sz w:val="18"/>
                <w:szCs w:val="18"/>
              </w:rPr>
            </w:pPr>
            <w:r>
              <w:rPr>
                <w:rFonts w:ascii="宋体" w:hAnsi="宋体"/>
                <w:color w:val="auto"/>
                <w:sz w:val="18"/>
                <w:szCs w:val="18"/>
              </w:rPr>
              <w:t>342,504,069.28</w:t>
            </w:r>
          </w:p>
        </w:tc>
        <w:tc>
          <w:tcPr>
            <w:tcW w:w="1772" w:type="dxa"/>
            <w:tcBorders>
              <w:top w:val="single" w:color="auto" w:sz="12" w:space="0"/>
              <w:bottom w:val="single" w:color="auto" w:sz="4" w:space="0"/>
            </w:tcBorders>
            <w:shd w:val="clear" w:color="auto" w:fill="auto"/>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372,057,405.93</w:t>
            </w:r>
          </w:p>
        </w:tc>
        <w:tc>
          <w:tcPr>
            <w:tcW w:w="1772" w:type="dxa"/>
            <w:tcBorders>
              <w:top w:val="single" w:color="auto" w:sz="12" w:space="0"/>
              <w:bottom w:val="single" w:color="auto" w:sz="4" w:space="0"/>
            </w:tcBorders>
            <w:shd w:val="clear" w:color="auto" w:fill="auto"/>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254,244,302.15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843" w:type="dxa"/>
            <w:tcBorders>
              <w:top w:val="single" w:color="auto" w:sz="4" w:space="0"/>
              <w:bottom w:val="single" w:color="auto" w:sz="12" w:space="0"/>
            </w:tcBorders>
            <w:shd w:val="clear" w:color="auto" w:fill="auto"/>
            <w:vAlign w:val="bottom"/>
          </w:tcPr>
          <w:p>
            <w:pPr>
              <w:rPr>
                <w:rFonts w:ascii="宋体" w:hAnsi="宋体"/>
                <w:color w:val="auto"/>
                <w:kern w:val="0"/>
                <w:sz w:val="18"/>
                <w:szCs w:val="18"/>
              </w:rPr>
            </w:pPr>
            <w:r>
              <w:rPr>
                <w:rFonts w:hint="eastAsia" w:ascii="宋体" w:hAnsi="宋体"/>
                <w:color w:val="auto"/>
                <w:kern w:val="0"/>
                <w:sz w:val="18"/>
                <w:szCs w:val="18"/>
              </w:rPr>
              <w:t>其他业务</w:t>
            </w:r>
          </w:p>
        </w:tc>
        <w:tc>
          <w:tcPr>
            <w:tcW w:w="1772" w:type="dxa"/>
            <w:tcBorders>
              <w:top w:val="single" w:color="auto" w:sz="4" w:space="0"/>
              <w:bottom w:val="single" w:color="auto" w:sz="12" w:space="0"/>
            </w:tcBorders>
            <w:shd w:val="clear" w:color="auto" w:fill="auto"/>
            <w:vAlign w:val="bottom"/>
          </w:tcPr>
          <w:p>
            <w:pPr>
              <w:jc w:val="right"/>
              <w:rPr>
                <w:rFonts w:ascii="宋体" w:hAnsi="宋体" w:cs="宋体"/>
                <w:color w:val="auto"/>
                <w:sz w:val="18"/>
                <w:szCs w:val="18"/>
              </w:rPr>
            </w:pPr>
            <w:r>
              <w:rPr>
                <w:rFonts w:ascii="宋体" w:hAnsi="宋体"/>
                <w:color w:val="auto"/>
                <w:sz w:val="18"/>
                <w:szCs w:val="18"/>
              </w:rPr>
              <w:t>4,619,946.27</w:t>
            </w:r>
          </w:p>
        </w:tc>
        <w:tc>
          <w:tcPr>
            <w:tcW w:w="1772" w:type="dxa"/>
            <w:tcBorders>
              <w:top w:val="single" w:color="auto" w:sz="4" w:space="0"/>
              <w:bottom w:val="single" w:color="auto" w:sz="12" w:space="0"/>
            </w:tcBorders>
            <w:shd w:val="clear" w:color="auto" w:fill="auto"/>
            <w:vAlign w:val="bottom"/>
          </w:tcPr>
          <w:p>
            <w:pPr>
              <w:jc w:val="right"/>
              <w:rPr>
                <w:rFonts w:ascii="宋体" w:hAnsi="宋体" w:cs="宋体"/>
                <w:color w:val="auto"/>
                <w:sz w:val="18"/>
                <w:szCs w:val="18"/>
              </w:rPr>
            </w:pPr>
            <w:r>
              <w:rPr>
                <w:rFonts w:ascii="宋体" w:hAnsi="宋体"/>
                <w:color w:val="auto"/>
                <w:sz w:val="18"/>
                <w:szCs w:val="18"/>
              </w:rPr>
              <w:t>3,028,482.89</w:t>
            </w:r>
          </w:p>
        </w:tc>
        <w:tc>
          <w:tcPr>
            <w:tcW w:w="1772" w:type="dxa"/>
            <w:tcBorders>
              <w:top w:val="single" w:color="auto" w:sz="4" w:space="0"/>
              <w:bottom w:val="single" w:color="auto" w:sz="12" w:space="0"/>
            </w:tcBorders>
            <w:shd w:val="clear" w:color="auto" w:fill="auto"/>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2,079,050.53</w:t>
            </w:r>
          </w:p>
        </w:tc>
        <w:tc>
          <w:tcPr>
            <w:tcW w:w="1772" w:type="dxa"/>
            <w:tcBorders>
              <w:top w:val="single" w:color="auto" w:sz="4" w:space="0"/>
              <w:bottom w:val="single" w:color="auto" w:sz="12" w:space="0"/>
            </w:tcBorders>
            <w:shd w:val="clear" w:color="auto" w:fill="auto"/>
            <w:vAlign w:val="bottom"/>
          </w:tcPr>
          <w:p>
            <w:pPr>
              <w:jc w:val="right"/>
              <w:rPr>
                <w:rFonts w:cs="宋体" w:asciiTheme="majorEastAsia" w:hAnsiTheme="majorEastAsia" w:eastAsiaTheme="majorEastAsia"/>
                <w:color w:val="auto"/>
                <w:sz w:val="18"/>
                <w:szCs w:val="18"/>
              </w:rPr>
            </w:pPr>
            <w:r>
              <w:rPr>
                <w:rFonts w:hint="eastAsia" w:asciiTheme="minorEastAsia" w:hAnsiTheme="minorEastAsia" w:eastAsiaTheme="minorEastAsia"/>
                <w:color w:val="auto"/>
                <w:sz w:val="18"/>
                <w:szCs w:val="18"/>
              </w:rPr>
              <w:t>918,926.50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trPr>
        <w:tc>
          <w:tcPr>
            <w:tcW w:w="1843" w:type="dxa"/>
            <w:tcBorders>
              <w:top w:val="single" w:color="auto" w:sz="12" w:space="0"/>
            </w:tcBorders>
            <w:shd w:val="clear" w:color="auto" w:fill="auto"/>
            <w:vAlign w:val="bottom"/>
          </w:tcPr>
          <w:p>
            <w:pPr>
              <w:jc w:val="center"/>
              <w:rPr>
                <w:rFonts w:ascii="宋体" w:hAnsi="宋体"/>
                <w:b/>
                <w:color w:val="auto"/>
                <w:kern w:val="0"/>
                <w:sz w:val="18"/>
                <w:szCs w:val="18"/>
              </w:rPr>
            </w:pPr>
            <w:r>
              <w:rPr>
                <w:rFonts w:hint="eastAsia" w:ascii="宋体" w:hAnsi="宋体"/>
                <w:b/>
                <w:color w:val="auto"/>
                <w:kern w:val="0"/>
                <w:sz w:val="18"/>
                <w:szCs w:val="18"/>
              </w:rPr>
              <w:t>合计</w:t>
            </w:r>
          </w:p>
        </w:tc>
        <w:tc>
          <w:tcPr>
            <w:tcW w:w="1772" w:type="dxa"/>
            <w:tcBorders>
              <w:top w:val="single" w:color="auto" w:sz="12" w:space="0"/>
            </w:tcBorders>
            <w:shd w:val="clear" w:color="auto" w:fill="auto"/>
            <w:vAlign w:val="bottom"/>
          </w:tcPr>
          <w:p>
            <w:pPr>
              <w:jc w:val="right"/>
              <w:rPr>
                <w:rFonts w:ascii="宋体" w:hAnsi="宋体" w:cs="宋体"/>
                <w:b/>
                <w:bCs/>
                <w:color w:val="auto"/>
                <w:sz w:val="18"/>
                <w:szCs w:val="18"/>
              </w:rPr>
            </w:pPr>
            <w:r>
              <w:rPr>
                <w:rFonts w:ascii="宋体" w:hAnsi="宋体"/>
                <w:b/>
                <w:bCs/>
                <w:color w:val="auto"/>
                <w:sz w:val="18"/>
                <w:szCs w:val="18"/>
              </w:rPr>
              <w:t>522,680,921.36</w:t>
            </w:r>
          </w:p>
        </w:tc>
        <w:tc>
          <w:tcPr>
            <w:tcW w:w="1772" w:type="dxa"/>
            <w:tcBorders>
              <w:top w:val="single" w:color="auto" w:sz="12" w:space="0"/>
            </w:tcBorders>
            <w:shd w:val="clear" w:color="auto" w:fill="auto"/>
            <w:vAlign w:val="bottom"/>
          </w:tcPr>
          <w:p>
            <w:pPr>
              <w:jc w:val="right"/>
              <w:rPr>
                <w:rFonts w:ascii="宋体" w:hAnsi="宋体" w:cs="宋体"/>
                <w:b/>
                <w:bCs/>
                <w:color w:val="auto"/>
                <w:sz w:val="18"/>
                <w:szCs w:val="18"/>
              </w:rPr>
            </w:pPr>
            <w:r>
              <w:rPr>
                <w:rFonts w:ascii="宋体" w:hAnsi="宋体"/>
                <w:b/>
                <w:bCs/>
                <w:color w:val="auto"/>
                <w:sz w:val="18"/>
                <w:szCs w:val="18"/>
              </w:rPr>
              <w:t>345,532,552.17</w:t>
            </w:r>
          </w:p>
        </w:tc>
        <w:tc>
          <w:tcPr>
            <w:tcW w:w="1772" w:type="dxa"/>
            <w:tcBorders>
              <w:top w:val="single" w:color="auto" w:sz="12" w:space="0"/>
            </w:tcBorders>
            <w:shd w:val="clear" w:color="auto" w:fill="auto"/>
            <w:vAlign w:val="bottom"/>
          </w:tcPr>
          <w:p>
            <w:pPr>
              <w:jc w:val="right"/>
              <w:rPr>
                <w:rFonts w:cs="宋体" w:asciiTheme="majorEastAsia" w:hAnsiTheme="majorEastAsia" w:eastAsiaTheme="majorEastAsia"/>
                <w:b/>
                <w:bCs/>
                <w:color w:val="auto"/>
                <w:sz w:val="18"/>
                <w:szCs w:val="18"/>
              </w:rPr>
            </w:pPr>
            <w:r>
              <w:rPr>
                <w:rFonts w:hint="eastAsia" w:asciiTheme="minorEastAsia" w:hAnsiTheme="minorEastAsia" w:eastAsiaTheme="minorEastAsia"/>
                <w:b/>
                <w:bCs/>
                <w:color w:val="auto"/>
                <w:sz w:val="18"/>
                <w:szCs w:val="18"/>
              </w:rPr>
              <w:t>374,136,456.46</w:t>
            </w:r>
          </w:p>
        </w:tc>
        <w:tc>
          <w:tcPr>
            <w:tcW w:w="1772" w:type="dxa"/>
            <w:tcBorders>
              <w:top w:val="single" w:color="auto" w:sz="12" w:space="0"/>
            </w:tcBorders>
            <w:shd w:val="clear" w:color="auto" w:fill="auto"/>
            <w:vAlign w:val="bottom"/>
          </w:tcPr>
          <w:p>
            <w:pPr>
              <w:jc w:val="right"/>
              <w:rPr>
                <w:rFonts w:cs="宋体" w:asciiTheme="majorEastAsia" w:hAnsiTheme="majorEastAsia" w:eastAsiaTheme="majorEastAsia"/>
                <w:b/>
                <w:bCs/>
                <w:color w:val="auto"/>
                <w:sz w:val="18"/>
                <w:szCs w:val="18"/>
              </w:rPr>
            </w:pPr>
            <w:r>
              <w:rPr>
                <w:rFonts w:hint="eastAsia" w:asciiTheme="minorEastAsia" w:hAnsiTheme="minorEastAsia" w:eastAsiaTheme="minorEastAsia"/>
                <w:b/>
                <w:bCs/>
                <w:color w:val="auto"/>
                <w:sz w:val="18"/>
                <w:szCs w:val="18"/>
              </w:rPr>
              <w:t>255,163,228.65</w:t>
            </w:r>
          </w:p>
        </w:tc>
      </w:tr>
    </w:tbl>
    <w:p>
      <w:pPr>
        <w:pStyle w:val="5"/>
        <w:spacing w:before="150" w:beforeLines="50" w:after="150" w:afterLines="50" w:line="360" w:lineRule="auto"/>
        <w:ind w:firstLine="420" w:firstLineChars="200"/>
        <w:outlineLvl w:val="1"/>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5、投资收益</w:t>
      </w:r>
    </w:p>
    <w:tbl>
      <w:tblPr>
        <w:tblStyle w:val="9"/>
        <w:tblW w:w="5000" w:type="pct"/>
        <w:tblCaption w:val="&quot;\\lisheng\共享\1、伟隆2022年度审计\1、2022年度审计\1、附注及报告\2022年\附注计算-伟隆 - 2022.xlsx&quot; &quot;2022附注格式!_ReportTable_0124&quot;"/>
        <w:tblDescription w:val="A1118:C1124"/>
        <w:tblInd w:w="0" w:type="dxa"/>
        <w:tblLayout w:type="autofit"/>
        <w:tblCellMar>
          <w:top w:w="0" w:type="dxa"/>
          <w:left w:w="30" w:type="dxa"/>
          <w:bottom w:w="0" w:type="dxa"/>
          <w:right w:w="30" w:type="dxa"/>
        </w:tblCellMar>
      </w:tblPr>
      <w:tblGrid>
        <w:gridCol w:w="3871"/>
        <w:gridCol w:w="2913"/>
        <w:gridCol w:w="2913"/>
      </w:tblGrid>
      <w:tr>
        <w:tblPrEx>
          <w:tblCellMar>
            <w:top w:w="0" w:type="dxa"/>
            <w:left w:w="30" w:type="dxa"/>
            <w:bottom w:w="0" w:type="dxa"/>
            <w:right w:w="30" w:type="dxa"/>
          </w:tblCellMar>
        </w:tblPrEx>
        <w:trPr>
          <w:trHeight w:val="454" w:hRule="atLeast"/>
        </w:trPr>
        <w:tc>
          <w:tcPr>
            <w:tcW w:w="1996" w:type="pct"/>
            <w:tcBorders>
              <w:top w:val="single" w:color="auto" w:sz="12" w:space="0"/>
              <w:bottom w:val="single" w:color="auto" w:sz="12" w:space="0"/>
              <w:right w:val="single" w:color="auto" w:sz="4" w:space="0"/>
            </w:tcBorders>
            <w:vAlign w:val="bottom"/>
          </w:tcPr>
          <w:p>
            <w:pPr>
              <w:spacing w:line="360" w:lineRule="auto"/>
              <w:jc w:val="center"/>
              <w:rPr>
                <w:rFonts w:ascii="宋体"/>
                <w:b/>
                <w:bCs/>
                <w:color w:val="auto"/>
                <w:sz w:val="18"/>
                <w:szCs w:val="18"/>
              </w:rPr>
            </w:pPr>
            <w:r>
              <w:rPr>
                <w:rFonts w:hint="eastAsia" w:ascii="宋体" w:hAnsi="宋体"/>
                <w:b/>
                <w:bCs/>
                <w:color w:val="auto"/>
                <w:sz w:val="18"/>
                <w:szCs w:val="18"/>
              </w:rPr>
              <w:t>项</w:t>
            </w:r>
            <w:r>
              <w:rPr>
                <w:rFonts w:ascii="宋体" w:hAnsi="宋体"/>
                <w:b/>
                <w:bCs/>
                <w:color w:val="auto"/>
                <w:sz w:val="18"/>
                <w:szCs w:val="18"/>
              </w:rPr>
              <w:t xml:space="preserve">  目</w:t>
            </w:r>
          </w:p>
        </w:tc>
        <w:tc>
          <w:tcPr>
            <w:tcW w:w="1502" w:type="pct"/>
            <w:tcBorders>
              <w:top w:val="single" w:color="auto" w:sz="12" w:space="0"/>
              <w:bottom w:val="single" w:color="auto" w:sz="12" w:space="0"/>
              <w:right w:val="single" w:color="auto" w:sz="4" w:space="0"/>
            </w:tcBorders>
            <w:vAlign w:val="bottom"/>
          </w:tcPr>
          <w:p>
            <w:pPr>
              <w:spacing w:line="360" w:lineRule="auto"/>
              <w:jc w:val="center"/>
              <w:rPr>
                <w:rFonts w:ascii="宋体" w:hAnsi="宋体"/>
                <w:b/>
                <w:bCs/>
                <w:color w:val="auto"/>
                <w:sz w:val="18"/>
                <w:szCs w:val="18"/>
              </w:rPr>
            </w:pPr>
            <w:r>
              <w:rPr>
                <w:rFonts w:hint="eastAsia" w:ascii="宋体" w:hAnsi="宋体"/>
                <w:b/>
                <w:bCs/>
                <w:color w:val="auto"/>
                <w:sz w:val="18"/>
                <w:szCs w:val="18"/>
              </w:rPr>
              <w:t>本期发生额</w:t>
            </w:r>
          </w:p>
        </w:tc>
        <w:tc>
          <w:tcPr>
            <w:tcW w:w="1502" w:type="pct"/>
            <w:tcBorders>
              <w:top w:val="single" w:color="auto" w:sz="12" w:space="0"/>
              <w:left w:val="single" w:color="auto" w:sz="4" w:space="0"/>
              <w:bottom w:val="single" w:color="auto" w:sz="12" w:space="0"/>
            </w:tcBorders>
            <w:vAlign w:val="bottom"/>
          </w:tcPr>
          <w:p>
            <w:pPr>
              <w:spacing w:line="360" w:lineRule="auto"/>
              <w:jc w:val="center"/>
              <w:rPr>
                <w:rFonts w:ascii="宋体" w:hAnsi="宋体"/>
                <w:b/>
                <w:bCs/>
                <w:color w:val="auto"/>
                <w:sz w:val="18"/>
                <w:szCs w:val="18"/>
              </w:rPr>
            </w:pPr>
            <w:r>
              <w:rPr>
                <w:rFonts w:ascii="宋体" w:hAnsi="宋体"/>
                <w:b/>
                <w:bCs/>
                <w:color w:val="auto"/>
                <w:sz w:val="18"/>
                <w:szCs w:val="18"/>
              </w:rPr>
              <w:t>上期发生额</w:t>
            </w:r>
          </w:p>
        </w:tc>
      </w:tr>
      <w:tr>
        <w:tblPrEx>
          <w:tblCellMar>
            <w:top w:w="0" w:type="dxa"/>
            <w:left w:w="30" w:type="dxa"/>
            <w:bottom w:w="0" w:type="dxa"/>
            <w:right w:w="30" w:type="dxa"/>
          </w:tblCellMar>
        </w:tblPrEx>
        <w:trPr>
          <w:trHeight w:val="454" w:hRule="atLeast"/>
        </w:trPr>
        <w:tc>
          <w:tcPr>
            <w:tcW w:w="1996" w:type="pct"/>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color w:val="auto"/>
                <w:sz w:val="18"/>
                <w:szCs w:val="18"/>
              </w:rPr>
              <w:t>理财产品收益</w:t>
            </w:r>
          </w:p>
        </w:tc>
        <w:tc>
          <w:tcPr>
            <w:tcW w:w="1502" w:type="pct"/>
            <w:tcBorders>
              <w:top w:val="single" w:color="auto" w:sz="4" w:space="0"/>
              <w:bottom w:val="single" w:color="auto" w:sz="4" w:space="0"/>
              <w:right w:val="single" w:color="auto" w:sz="4" w:space="0"/>
            </w:tcBorders>
            <w:vAlign w:val="bottom"/>
          </w:tcPr>
          <w:p>
            <w:pPr>
              <w:autoSpaceDE w:val="0"/>
              <w:autoSpaceDN w:val="0"/>
              <w:adjustRightInd w:val="0"/>
              <w:jc w:val="right"/>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 xml:space="preserve">      5,993,628.32 </w:t>
            </w:r>
          </w:p>
        </w:tc>
        <w:tc>
          <w:tcPr>
            <w:tcW w:w="1502"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      13,896,219.40 </w:t>
            </w:r>
          </w:p>
        </w:tc>
      </w:tr>
      <w:tr>
        <w:tblPrEx>
          <w:tblCellMar>
            <w:top w:w="0" w:type="dxa"/>
            <w:left w:w="30" w:type="dxa"/>
            <w:bottom w:w="0" w:type="dxa"/>
            <w:right w:w="30" w:type="dxa"/>
          </w:tblCellMar>
        </w:tblPrEx>
        <w:trPr>
          <w:trHeight w:val="454" w:hRule="atLeast"/>
        </w:trPr>
        <w:tc>
          <w:tcPr>
            <w:tcW w:w="1996" w:type="pct"/>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color w:val="auto"/>
                <w:sz w:val="18"/>
                <w:szCs w:val="18"/>
              </w:rPr>
              <w:t>外汇期权收益</w:t>
            </w:r>
          </w:p>
        </w:tc>
        <w:tc>
          <w:tcPr>
            <w:tcW w:w="1502" w:type="pct"/>
            <w:tcBorders>
              <w:top w:val="single" w:color="auto" w:sz="4" w:space="0"/>
              <w:bottom w:val="single" w:color="auto" w:sz="4" w:space="0"/>
              <w:right w:val="single" w:color="auto" w:sz="4" w:space="0"/>
            </w:tcBorders>
            <w:vAlign w:val="bottom"/>
          </w:tcPr>
          <w:p>
            <w:pPr>
              <w:autoSpaceDE w:val="0"/>
              <w:autoSpaceDN w:val="0"/>
              <w:adjustRightInd w:val="0"/>
              <w:jc w:val="right"/>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　</w:t>
            </w:r>
          </w:p>
        </w:tc>
        <w:tc>
          <w:tcPr>
            <w:tcW w:w="1502"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r>
              <w:rPr>
                <w:rFonts w:ascii="宋体" w:hAnsi="宋体" w:cs="宋体"/>
                <w:color w:val="auto"/>
                <w:kern w:val="0"/>
                <w:sz w:val="18"/>
                <w:szCs w:val="18"/>
              </w:rPr>
              <w:t xml:space="preserve">          55,250.00 </w:t>
            </w:r>
          </w:p>
        </w:tc>
      </w:tr>
      <w:tr>
        <w:tblPrEx>
          <w:tblCellMar>
            <w:top w:w="0" w:type="dxa"/>
            <w:left w:w="30" w:type="dxa"/>
            <w:bottom w:w="0" w:type="dxa"/>
            <w:right w:w="30" w:type="dxa"/>
          </w:tblCellMar>
        </w:tblPrEx>
        <w:trPr>
          <w:trHeight w:val="454" w:hRule="atLeast"/>
        </w:trPr>
        <w:tc>
          <w:tcPr>
            <w:tcW w:w="1996" w:type="pct"/>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color w:val="auto"/>
                <w:sz w:val="18"/>
                <w:szCs w:val="18"/>
              </w:rPr>
              <w:t>远期结售汇损失</w:t>
            </w:r>
          </w:p>
        </w:tc>
        <w:tc>
          <w:tcPr>
            <w:tcW w:w="1502" w:type="pct"/>
            <w:tcBorders>
              <w:top w:val="single" w:color="auto" w:sz="4" w:space="0"/>
              <w:bottom w:val="single" w:color="auto" w:sz="4" w:space="0"/>
              <w:right w:val="single" w:color="auto" w:sz="4" w:space="0"/>
            </w:tcBorders>
            <w:vAlign w:val="bottom"/>
          </w:tcPr>
          <w:p>
            <w:pPr>
              <w:autoSpaceDE w:val="0"/>
              <w:autoSpaceDN w:val="0"/>
              <w:adjustRightInd w:val="0"/>
              <w:jc w:val="right"/>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 xml:space="preserve">       -417,990.00 </w:t>
            </w:r>
          </w:p>
        </w:tc>
        <w:tc>
          <w:tcPr>
            <w:tcW w:w="1502" w:type="pct"/>
            <w:tcBorders>
              <w:top w:val="single" w:color="auto" w:sz="4" w:space="0"/>
              <w:left w:val="single" w:color="auto" w:sz="4" w:space="0"/>
              <w:bottom w:val="single" w:color="auto" w:sz="4" w:space="0"/>
            </w:tcBorders>
            <w:vAlign w:val="bottom"/>
          </w:tcPr>
          <w:p>
            <w:pPr>
              <w:jc w:val="right"/>
              <w:rPr>
                <w:rFonts w:cs="宋体" w:asciiTheme="minorEastAsia" w:hAnsiTheme="minorEastAsia" w:eastAsiaTheme="minorEastAsia"/>
                <w:color w:val="auto"/>
                <w:sz w:val="18"/>
                <w:szCs w:val="18"/>
              </w:rPr>
            </w:pPr>
          </w:p>
        </w:tc>
      </w:tr>
      <w:tr>
        <w:tblPrEx>
          <w:tblCellMar>
            <w:top w:w="0" w:type="dxa"/>
            <w:left w:w="30" w:type="dxa"/>
            <w:bottom w:w="0" w:type="dxa"/>
            <w:right w:w="30" w:type="dxa"/>
          </w:tblCellMar>
        </w:tblPrEx>
        <w:trPr>
          <w:trHeight w:val="454" w:hRule="atLeast"/>
        </w:trPr>
        <w:tc>
          <w:tcPr>
            <w:tcW w:w="1996" w:type="pct"/>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ascii="宋体" w:hAnsi="宋体" w:cs="宋体"/>
                <w:color w:val="auto"/>
                <w:sz w:val="18"/>
                <w:szCs w:val="18"/>
              </w:rPr>
              <w:t>大额存单利息</w:t>
            </w:r>
          </w:p>
        </w:tc>
        <w:tc>
          <w:tcPr>
            <w:tcW w:w="1502" w:type="pct"/>
            <w:tcBorders>
              <w:top w:val="single" w:color="auto" w:sz="4" w:space="0"/>
              <w:bottom w:val="single" w:color="auto" w:sz="4" w:space="0"/>
              <w:right w:val="single" w:color="auto" w:sz="4" w:space="0"/>
            </w:tcBorders>
            <w:vAlign w:val="bottom"/>
          </w:tcPr>
          <w:p>
            <w:pPr>
              <w:autoSpaceDE w:val="0"/>
              <w:autoSpaceDN w:val="0"/>
              <w:adjustRightInd w:val="0"/>
              <w:jc w:val="right"/>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 xml:space="preserve">      2,278,177.57 </w:t>
            </w:r>
          </w:p>
        </w:tc>
        <w:tc>
          <w:tcPr>
            <w:tcW w:w="1502" w:type="pct"/>
            <w:tcBorders>
              <w:top w:val="single" w:color="auto" w:sz="4" w:space="0"/>
              <w:left w:val="single" w:color="auto" w:sz="4" w:space="0"/>
              <w:bottom w:val="single" w:color="auto" w:sz="4" w:space="0"/>
            </w:tcBorders>
            <w:vAlign w:val="bottom"/>
          </w:tcPr>
          <w:p>
            <w:pPr>
              <w:jc w:val="right"/>
              <w:rPr>
                <w:rFonts w:ascii="宋体" w:hAnsi="宋体" w:cs="宋体"/>
                <w:color w:val="auto"/>
                <w:kern w:val="0"/>
                <w:sz w:val="18"/>
                <w:szCs w:val="18"/>
              </w:rPr>
            </w:pPr>
            <w:r>
              <w:rPr>
                <w:rFonts w:ascii="宋体" w:hAnsi="宋体" w:cs="宋体"/>
                <w:color w:val="auto"/>
                <w:kern w:val="0"/>
                <w:sz w:val="18"/>
                <w:szCs w:val="18"/>
              </w:rPr>
              <w:t>1,498,850.00</w:t>
            </w:r>
          </w:p>
        </w:tc>
      </w:tr>
      <w:tr>
        <w:tblPrEx>
          <w:tblCellMar>
            <w:top w:w="0" w:type="dxa"/>
            <w:left w:w="30" w:type="dxa"/>
            <w:bottom w:w="0" w:type="dxa"/>
            <w:right w:w="30" w:type="dxa"/>
          </w:tblCellMar>
        </w:tblPrEx>
        <w:trPr>
          <w:trHeight w:val="454" w:hRule="atLeast"/>
        </w:trPr>
        <w:tc>
          <w:tcPr>
            <w:tcW w:w="1996" w:type="pct"/>
            <w:tcBorders>
              <w:top w:val="single" w:color="auto" w:sz="4" w:space="0"/>
              <w:bottom w:val="single" w:color="auto" w:sz="4" w:space="0"/>
              <w:right w:val="single" w:color="auto" w:sz="4" w:space="0"/>
            </w:tcBorders>
            <w:vAlign w:val="bottom"/>
          </w:tcPr>
          <w:p>
            <w:pPr>
              <w:rPr>
                <w:rFonts w:ascii="宋体" w:hAnsi="宋体" w:cs="宋体"/>
                <w:color w:val="auto"/>
                <w:sz w:val="18"/>
                <w:szCs w:val="18"/>
              </w:rPr>
            </w:pPr>
            <w:r>
              <w:rPr>
                <w:rFonts w:hint="eastAsia" w:ascii="宋体" w:hAnsi="宋体" w:cs="宋体"/>
                <w:color w:val="auto"/>
                <w:sz w:val="18"/>
                <w:szCs w:val="18"/>
              </w:rPr>
              <w:t>处置长期股权投资产生的投资收益</w:t>
            </w:r>
          </w:p>
        </w:tc>
        <w:tc>
          <w:tcPr>
            <w:tcW w:w="1502" w:type="pct"/>
            <w:tcBorders>
              <w:top w:val="single" w:color="auto" w:sz="4" w:space="0"/>
              <w:bottom w:val="single" w:color="auto" w:sz="4" w:space="0"/>
              <w:right w:val="single" w:color="auto" w:sz="4" w:space="0"/>
            </w:tcBorders>
            <w:vAlign w:val="bottom"/>
          </w:tcPr>
          <w:p>
            <w:pPr>
              <w:autoSpaceDE w:val="0"/>
              <w:autoSpaceDN w:val="0"/>
              <w:adjustRightInd w:val="0"/>
              <w:jc w:val="right"/>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 xml:space="preserve">     41,752,163.13 </w:t>
            </w:r>
          </w:p>
        </w:tc>
        <w:tc>
          <w:tcPr>
            <w:tcW w:w="1502" w:type="pct"/>
            <w:tcBorders>
              <w:top w:val="single" w:color="auto" w:sz="4" w:space="0"/>
              <w:left w:val="single" w:color="auto" w:sz="4" w:space="0"/>
              <w:bottom w:val="single" w:color="auto" w:sz="4" w:space="0"/>
            </w:tcBorders>
            <w:vAlign w:val="bottom"/>
          </w:tcPr>
          <w:p>
            <w:pPr>
              <w:jc w:val="right"/>
              <w:rPr>
                <w:rFonts w:ascii="宋体" w:hAnsi="宋体" w:cs="宋体"/>
                <w:color w:val="auto"/>
                <w:kern w:val="0"/>
                <w:sz w:val="18"/>
                <w:szCs w:val="18"/>
              </w:rPr>
            </w:pPr>
          </w:p>
        </w:tc>
      </w:tr>
      <w:tr>
        <w:tblPrEx>
          <w:tblCellMar>
            <w:top w:w="0" w:type="dxa"/>
            <w:left w:w="30" w:type="dxa"/>
            <w:bottom w:w="0" w:type="dxa"/>
            <w:right w:w="30" w:type="dxa"/>
          </w:tblCellMar>
        </w:tblPrEx>
        <w:trPr>
          <w:trHeight w:val="454" w:hRule="atLeast"/>
        </w:trPr>
        <w:tc>
          <w:tcPr>
            <w:tcW w:w="1996" w:type="pct"/>
            <w:tcBorders>
              <w:top w:val="single" w:color="auto" w:sz="4" w:space="0"/>
              <w:bottom w:val="single" w:color="auto" w:sz="12" w:space="0"/>
              <w:right w:val="single" w:color="auto" w:sz="4" w:space="0"/>
            </w:tcBorders>
            <w:vAlign w:val="bottom"/>
          </w:tcPr>
          <w:p>
            <w:pPr>
              <w:rPr>
                <w:rFonts w:ascii="宋体" w:hAnsi="宋体" w:cs="宋体"/>
                <w:color w:val="auto"/>
                <w:sz w:val="18"/>
                <w:szCs w:val="18"/>
              </w:rPr>
            </w:pPr>
            <w:r>
              <w:rPr>
                <w:rFonts w:hint="eastAsia" w:ascii="宋体" w:hAnsi="宋体" w:cs="宋体"/>
                <w:color w:val="auto"/>
                <w:sz w:val="18"/>
                <w:szCs w:val="18"/>
              </w:rPr>
              <w:t>债务重组</w:t>
            </w:r>
          </w:p>
        </w:tc>
        <w:tc>
          <w:tcPr>
            <w:tcW w:w="1502" w:type="pct"/>
            <w:tcBorders>
              <w:top w:val="single" w:color="auto" w:sz="4" w:space="0"/>
              <w:bottom w:val="single" w:color="auto" w:sz="12" w:space="0"/>
              <w:right w:val="single" w:color="auto" w:sz="4" w:space="0"/>
            </w:tcBorders>
            <w:vAlign w:val="bottom"/>
          </w:tcPr>
          <w:p>
            <w:pPr>
              <w:autoSpaceDE w:val="0"/>
              <w:autoSpaceDN w:val="0"/>
              <w:adjustRightInd w:val="0"/>
              <w:jc w:val="right"/>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 xml:space="preserve">       -263,993.81 </w:t>
            </w:r>
          </w:p>
        </w:tc>
        <w:tc>
          <w:tcPr>
            <w:tcW w:w="1502" w:type="pct"/>
            <w:tcBorders>
              <w:top w:val="single" w:color="auto" w:sz="4" w:space="0"/>
              <w:left w:val="single" w:color="auto" w:sz="4" w:space="0"/>
              <w:bottom w:val="single" w:color="auto" w:sz="12" w:space="0"/>
            </w:tcBorders>
            <w:vAlign w:val="bottom"/>
          </w:tcPr>
          <w:p>
            <w:pPr>
              <w:jc w:val="right"/>
              <w:rPr>
                <w:rFonts w:ascii="宋体" w:hAnsi="宋体" w:cs="宋体"/>
                <w:color w:val="auto"/>
                <w:kern w:val="0"/>
                <w:sz w:val="18"/>
                <w:szCs w:val="18"/>
              </w:rPr>
            </w:pPr>
          </w:p>
        </w:tc>
      </w:tr>
      <w:tr>
        <w:tblPrEx>
          <w:tblCellMar>
            <w:top w:w="0" w:type="dxa"/>
            <w:left w:w="30" w:type="dxa"/>
            <w:bottom w:w="0" w:type="dxa"/>
            <w:right w:w="30" w:type="dxa"/>
          </w:tblCellMar>
        </w:tblPrEx>
        <w:trPr>
          <w:trHeight w:val="454" w:hRule="atLeast"/>
        </w:trPr>
        <w:tc>
          <w:tcPr>
            <w:tcW w:w="1996" w:type="pct"/>
            <w:tcBorders>
              <w:top w:val="single" w:color="auto" w:sz="4" w:space="0"/>
              <w:bottom w:val="single" w:color="auto" w:sz="12" w:space="0"/>
              <w:right w:val="single" w:color="auto" w:sz="4" w:space="0"/>
            </w:tcBorders>
            <w:vAlign w:val="bottom"/>
          </w:tcPr>
          <w:p>
            <w:pPr>
              <w:jc w:val="center"/>
              <w:rPr>
                <w:rFonts w:ascii="宋体" w:hAnsi="宋体" w:cs="宋体"/>
                <w:b/>
                <w:color w:val="auto"/>
                <w:sz w:val="18"/>
                <w:szCs w:val="18"/>
              </w:rPr>
            </w:pPr>
            <w:r>
              <w:rPr>
                <w:rFonts w:hint="eastAsia" w:ascii="宋体" w:hAnsi="宋体" w:cs="宋体"/>
                <w:b/>
                <w:color w:val="auto"/>
                <w:sz w:val="18"/>
                <w:szCs w:val="18"/>
              </w:rPr>
              <w:t>合计</w:t>
            </w:r>
          </w:p>
        </w:tc>
        <w:tc>
          <w:tcPr>
            <w:tcW w:w="1502" w:type="pct"/>
            <w:tcBorders>
              <w:top w:val="single" w:color="auto" w:sz="4" w:space="0"/>
              <w:bottom w:val="single" w:color="auto" w:sz="12" w:space="0"/>
              <w:right w:val="single" w:color="auto" w:sz="4" w:space="0"/>
            </w:tcBorders>
            <w:vAlign w:val="bottom"/>
          </w:tcPr>
          <w:p>
            <w:pPr>
              <w:autoSpaceDE w:val="0"/>
              <w:autoSpaceDN w:val="0"/>
              <w:adjustRightInd w:val="0"/>
              <w:jc w:val="right"/>
              <w:rPr>
                <w:rFonts w:cs="宋体" w:asciiTheme="minorEastAsia" w:hAnsiTheme="minorEastAsia" w:eastAsiaTheme="minorEastAsia"/>
                <w:b/>
                <w:color w:val="auto"/>
                <w:kern w:val="0"/>
                <w:sz w:val="18"/>
                <w:szCs w:val="18"/>
              </w:rPr>
            </w:pPr>
            <w:r>
              <w:rPr>
                <w:rFonts w:hint="eastAsia" w:asciiTheme="minorEastAsia" w:hAnsiTheme="minorEastAsia" w:eastAsiaTheme="minorEastAsia"/>
                <w:b/>
                <w:bCs/>
                <w:color w:val="auto"/>
                <w:sz w:val="18"/>
                <w:szCs w:val="18"/>
              </w:rPr>
              <w:t xml:space="preserve">   49,341,985.21 </w:t>
            </w:r>
          </w:p>
        </w:tc>
        <w:tc>
          <w:tcPr>
            <w:tcW w:w="1502" w:type="pct"/>
            <w:tcBorders>
              <w:top w:val="single" w:color="auto" w:sz="4" w:space="0"/>
              <w:left w:val="single" w:color="auto" w:sz="4" w:space="0"/>
              <w:bottom w:val="single" w:color="auto" w:sz="12" w:space="0"/>
            </w:tcBorders>
            <w:vAlign w:val="bottom"/>
          </w:tcPr>
          <w:p>
            <w:pPr>
              <w:jc w:val="right"/>
              <w:rPr>
                <w:rFonts w:cs="宋体" w:asciiTheme="minorEastAsia" w:hAnsiTheme="minorEastAsia" w:eastAsiaTheme="minorEastAsia"/>
                <w:b/>
                <w:color w:val="auto"/>
                <w:sz w:val="18"/>
                <w:szCs w:val="18"/>
              </w:rPr>
            </w:pPr>
            <w:r>
              <w:rPr>
                <w:rFonts w:ascii="宋体" w:hAnsi="宋体" w:cs="宋体"/>
                <w:b/>
                <w:color w:val="auto"/>
                <w:kern w:val="0"/>
                <w:sz w:val="18"/>
                <w:szCs w:val="18"/>
              </w:rPr>
              <w:t>15,450,319.40</w:t>
            </w:r>
          </w:p>
        </w:tc>
      </w:tr>
    </w:tbl>
    <w:p>
      <w:pPr>
        <w:spacing w:before="150" w:beforeLines="50" w:after="150" w:afterLines="50" w:line="360" w:lineRule="auto"/>
        <w:ind w:firstLine="480" w:firstLineChars="200"/>
        <w:outlineLvl w:val="0"/>
        <w:rPr>
          <w:rFonts w:cs="Arial" w:asciiTheme="minorEastAsia" w:hAnsiTheme="minorEastAsia" w:eastAsiaTheme="minorEastAsia"/>
          <w:b/>
          <w:bCs/>
          <w:color w:val="auto"/>
          <w:sz w:val="24"/>
          <w:szCs w:val="24"/>
        </w:rPr>
      </w:pPr>
      <w:r>
        <w:rPr>
          <w:rFonts w:hint="eastAsia" w:cs="Arial" w:asciiTheme="minorEastAsia" w:hAnsiTheme="minorEastAsia" w:eastAsiaTheme="minorEastAsia"/>
          <w:b/>
          <w:bCs/>
          <w:color w:val="auto"/>
          <w:sz w:val="24"/>
          <w:szCs w:val="24"/>
        </w:rPr>
        <w:t>十七、补充资料</w:t>
      </w:r>
    </w:p>
    <w:p>
      <w:pPr>
        <w:spacing w:before="150" w:beforeLines="50" w:after="150" w:afterLines="50" w:line="360" w:lineRule="auto"/>
        <w:ind w:firstLine="420" w:firstLineChars="200"/>
        <w:rPr>
          <w:rFonts w:ascii="宋体"/>
          <w:b/>
          <w:color w:val="auto"/>
          <w:szCs w:val="21"/>
        </w:rPr>
      </w:pPr>
      <w:r>
        <w:rPr>
          <w:rFonts w:ascii="宋体" w:hAnsi="宋体"/>
          <w:b/>
          <w:color w:val="auto"/>
          <w:szCs w:val="21"/>
        </w:rPr>
        <w:t>1</w:t>
      </w:r>
      <w:r>
        <w:rPr>
          <w:rFonts w:hint="eastAsia" w:ascii="宋体" w:hAnsi="宋体"/>
          <w:b/>
          <w:color w:val="auto"/>
          <w:szCs w:val="21"/>
        </w:rPr>
        <w:t>、非经常性损益表</w:t>
      </w:r>
    </w:p>
    <w:p>
      <w:pPr>
        <w:spacing w:line="360" w:lineRule="auto"/>
        <w:ind w:firstLine="480"/>
        <w:rPr>
          <w:rFonts w:ascii="宋体"/>
          <w:color w:val="auto"/>
          <w:szCs w:val="21"/>
        </w:rPr>
      </w:pPr>
      <w:r>
        <w:rPr>
          <w:rFonts w:hint="eastAsia" w:ascii="宋体" w:hAnsi="宋体"/>
          <w:color w:val="auto"/>
          <w:szCs w:val="21"/>
        </w:rPr>
        <w:t>根据中国证券监督管理委员会《公开发行证券的公司信息披露解释性公告第</w:t>
      </w:r>
      <w:r>
        <w:rPr>
          <w:rFonts w:ascii="宋体" w:hAnsi="宋体"/>
          <w:color w:val="auto"/>
          <w:szCs w:val="21"/>
        </w:rPr>
        <w:t>1</w:t>
      </w:r>
      <w:r>
        <w:rPr>
          <w:rFonts w:hint="eastAsia" w:ascii="宋体" w:hAnsi="宋体"/>
          <w:color w:val="auto"/>
          <w:szCs w:val="21"/>
        </w:rPr>
        <w:t>号</w:t>
      </w:r>
      <w:r>
        <w:rPr>
          <w:rFonts w:ascii="宋体" w:hAnsi="宋体"/>
          <w:color w:val="auto"/>
          <w:szCs w:val="21"/>
        </w:rPr>
        <w:t>—</w:t>
      </w:r>
      <w:r>
        <w:rPr>
          <w:rFonts w:hint="eastAsia" w:ascii="宋体" w:hAnsi="宋体"/>
          <w:color w:val="auto"/>
          <w:szCs w:val="21"/>
        </w:rPr>
        <w:t>非经常性损益（</w:t>
      </w:r>
      <w:r>
        <w:rPr>
          <w:rFonts w:ascii="宋体" w:hAnsi="宋体"/>
          <w:color w:val="auto"/>
          <w:szCs w:val="21"/>
        </w:rPr>
        <w:t>2008</w:t>
      </w:r>
      <w:r>
        <w:rPr>
          <w:rFonts w:hint="eastAsia" w:ascii="宋体" w:hAnsi="宋体"/>
          <w:color w:val="auto"/>
          <w:szCs w:val="21"/>
        </w:rPr>
        <w:t>）》的规定，本公司报告期非经常性损益发生额情况如下：</w:t>
      </w:r>
    </w:p>
    <w:p>
      <w:pPr>
        <w:spacing w:line="360" w:lineRule="auto"/>
        <w:ind w:firstLine="7110" w:firstLineChars="3950"/>
        <w:rPr>
          <w:rFonts w:ascii="宋体"/>
          <w:color w:val="auto"/>
          <w:spacing w:val="4"/>
        </w:rPr>
      </w:pPr>
      <w:r>
        <w:rPr>
          <w:rFonts w:hint="eastAsia" w:ascii="宋体" w:hAnsi="宋体"/>
          <w:color w:val="auto"/>
          <w:sz w:val="18"/>
          <w:szCs w:val="18"/>
        </w:rPr>
        <w:t>单位：人民币元</w:t>
      </w:r>
    </w:p>
    <w:tbl>
      <w:tblPr>
        <w:tblStyle w:val="9"/>
        <w:tblW w:w="4835" w:type="pct"/>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226"/>
        <w:gridCol w:w="2458"/>
        <w:gridCol w:w="184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42" w:type="pct"/>
            <w:tcBorders>
              <w:top w:val="single" w:color="auto" w:sz="12"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项目</w:t>
            </w:r>
          </w:p>
        </w:tc>
        <w:tc>
          <w:tcPr>
            <w:tcW w:w="1290" w:type="pct"/>
            <w:tcBorders>
              <w:top w:val="single" w:color="auto" w:sz="12" w:space="0"/>
              <w:bottom w:val="single" w:color="auto" w:sz="12" w:space="0"/>
            </w:tcBorders>
            <w:vAlign w:val="center"/>
          </w:tcPr>
          <w:p>
            <w:pPr>
              <w:jc w:val="center"/>
              <w:rPr>
                <w:rFonts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金额</w:t>
            </w:r>
          </w:p>
        </w:tc>
        <w:tc>
          <w:tcPr>
            <w:tcW w:w="968" w:type="pct"/>
            <w:tcBorders>
              <w:top w:val="single" w:color="auto" w:sz="12" w:space="0"/>
              <w:bottom w:val="single" w:color="auto" w:sz="12" w:space="0"/>
            </w:tcBorders>
            <w:vAlign w:val="center"/>
          </w:tcPr>
          <w:p>
            <w:pPr>
              <w:jc w:val="center"/>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注释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42" w:type="pct"/>
            <w:tcBorders>
              <w:top w:val="single" w:color="auto" w:sz="12" w:space="0"/>
            </w:tcBorders>
            <w:vAlign w:val="bottom"/>
          </w:tcPr>
          <w:p>
            <w:pPr>
              <w:rPr>
                <w:rFonts w:ascii="宋体" w:cs="宋体"/>
                <w:color w:val="auto"/>
                <w:sz w:val="18"/>
                <w:szCs w:val="18"/>
              </w:rPr>
            </w:pPr>
            <w:r>
              <w:rPr>
                <w:rFonts w:ascii="宋体" w:hAnsi="宋体"/>
                <w:color w:val="auto"/>
                <w:sz w:val="18"/>
                <w:szCs w:val="18"/>
              </w:rPr>
              <w:t>1</w:t>
            </w:r>
            <w:r>
              <w:rPr>
                <w:rFonts w:hint="eastAsia" w:ascii="宋体" w:hAnsi="宋体"/>
                <w:color w:val="auto"/>
                <w:sz w:val="18"/>
                <w:szCs w:val="18"/>
              </w:rPr>
              <w:t>、非流动资产处置损益</w:t>
            </w:r>
          </w:p>
        </w:tc>
        <w:tc>
          <w:tcPr>
            <w:tcW w:w="1290" w:type="pct"/>
            <w:tcBorders>
              <w:top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-265,960.46 </w:t>
            </w:r>
          </w:p>
        </w:tc>
        <w:tc>
          <w:tcPr>
            <w:tcW w:w="968" w:type="pct"/>
            <w:tcBorders>
              <w:top w:val="single" w:color="auto" w:sz="12" w:space="0"/>
            </w:tcBorders>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trPr>
        <w:tc>
          <w:tcPr>
            <w:tcW w:w="2742" w:type="pct"/>
            <w:vAlign w:val="bottom"/>
          </w:tcPr>
          <w:p>
            <w:pPr>
              <w:rPr>
                <w:rFonts w:ascii="宋体" w:hAnsi="宋体"/>
                <w:color w:val="auto"/>
                <w:sz w:val="18"/>
                <w:szCs w:val="18"/>
              </w:rPr>
            </w:pPr>
            <w:r>
              <w:rPr>
                <w:rFonts w:ascii="宋体" w:hAnsi="宋体"/>
                <w:color w:val="auto"/>
                <w:sz w:val="18"/>
                <w:szCs w:val="18"/>
              </w:rPr>
              <w:t>2</w:t>
            </w:r>
            <w:r>
              <w:rPr>
                <w:rFonts w:hint="eastAsia" w:ascii="宋体" w:hAnsi="宋体"/>
                <w:color w:val="auto"/>
                <w:sz w:val="18"/>
                <w:szCs w:val="18"/>
              </w:rPr>
              <w:t>、处置长期股权投资产生的投资收益</w:t>
            </w:r>
          </w:p>
        </w:tc>
        <w:tc>
          <w:tcPr>
            <w:tcW w:w="1290" w:type="pct"/>
            <w:vAlign w:val="bottom"/>
          </w:tcPr>
          <w:p>
            <w:pPr>
              <w:jc w:val="righ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41,641,161.86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trPr>
        <w:tc>
          <w:tcPr>
            <w:tcW w:w="2742" w:type="pct"/>
            <w:vAlign w:val="bottom"/>
          </w:tcPr>
          <w:p>
            <w:pPr>
              <w:rPr>
                <w:rFonts w:ascii="宋体" w:cs="宋体"/>
                <w:color w:val="auto"/>
                <w:sz w:val="18"/>
                <w:szCs w:val="18"/>
              </w:rPr>
            </w:pPr>
            <w:r>
              <w:rPr>
                <w:rFonts w:ascii="宋体" w:hAnsi="宋体"/>
                <w:color w:val="auto"/>
                <w:sz w:val="18"/>
                <w:szCs w:val="18"/>
              </w:rPr>
              <w:t>3</w:t>
            </w:r>
            <w:r>
              <w:rPr>
                <w:rFonts w:hint="eastAsia" w:ascii="宋体" w:hAnsi="宋体"/>
                <w:color w:val="auto"/>
                <w:sz w:val="18"/>
                <w:szCs w:val="18"/>
              </w:rPr>
              <w:t>、越权审批或无正式批准文件的税收返还、减免</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567" w:hRule="exact"/>
        </w:trPr>
        <w:tc>
          <w:tcPr>
            <w:tcW w:w="2742" w:type="pct"/>
            <w:vAlign w:val="bottom"/>
          </w:tcPr>
          <w:p>
            <w:pPr>
              <w:rPr>
                <w:rFonts w:ascii="宋体" w:cs="宋体"/>
                <w:color w:val="auto"/>
                <w:sz w:val="18"/>
                <w:szCs w:val="18"/>
              </w:rPr>
            </w:pPr>
            <w:r>
              <w:rPr>
                <w:rFonts w:ascii="宋体" w:hAnsi="宋体"/>
                <w:color w:val="auto"/>
                <w:sz w:val="18"/>
                <w:szCs w:val="18"/>
              </w:rPr>
              <w:t>4</w:t>
            </w:r>
            <w:r>
              <w:rPr>
                <w:rFonts w:hint="eastAsia" w:ascii="宋体" w:hAnsi="宋体"/>
                <w:color w:val="auto"/>
                <w:sz w:val="18"/>
                <w:szCs w:val="18"/>
              </w:rPr>
              <w:t>、计入当期损益的政府补助（与企业业务密切相关，按照国家统一标准定额或定量享受的政府补助除外）</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2,294,298.10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trPr>
        <w:tc>
          <w:tcPr>
            <w:tcW w:w="2742" w:type="pct"/>
            <w:vAlign w:val="bottom"/>
          </w:tcPr>
          <w:p>
            <w:pPr>
              <w:rPr>
                <w:rFonts w:ascii="宋体" w:cs="宋体"/>
                <w:color w:val="auto"/>
                <w:sz w:val="18"/>
                <w:szCs w:val="18"/>
              </w:rPr>
            </w:pPr>
            <w:r>
              <w:rPr>
                <w:rFonts w:ascii="宋体" w:hAnsi="宋体"/>
                <w:color w:val="auto"/>
                <w:sz w:val="18"/>
                <w:szCs w:val="18"/>
              </w:rPr>
              <w:t>5</w:t>
            </w:r>
            <w:r>
              <w:rPr>
                <w:rFonts w:hint="eastAsia" w:ascii="宋体" w:hAnsi="宋体"/>
                <w:color w:val="auto"/>
                <w:sz w:val="18"/>
                <w:szCs w:val="18"/>
              </w:rPr>
              <w:t>、计入当期损益的对非金融企业收取的资金占用费</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722" w:hRule="exact"/>
        </w:trPr>
        <w:tc>
          <w:tcPr>
            <w:tcW w:w="2742" w:type="pct"/>
            <w:vAlign w:val="bottom"/>
          </w:tcPr>
          <w:p>
            <w:pPr>
              <w:rPr>
                <w:rFonts w:ascii="宋体" w:cs="宋体"/>
                <w:color w:val="auto"/>
                <w:sz w:val="18"/>
                <w:szCs w:val="18"/>
              </w:rPr>
            </w:pPr>
            <w:r>
              <w:rPr>
                <w:rFonts w:ascii="宋体" w:hAnsi="宋体"/>
                <w:color w:val="auto"/>
                <w:sz w:val="18"/>
                <w:szCs w:val="18"/>
              </w:rPr>
              <w:t>6</w:t>
            </w:r>
            <w:r>
              <w:rPr>
                <w:rFonts w:hint="eastAsia" w:ascii="宋体" w:hAnsi="宋体"/>
                <w:color w:val="auto"/>
                <w:sz w:val="18"/>
                <w:szCs w:val="18"/>
              </w:rPr>
              <w:t>、企业取得子公司、联营企业及合营企业的投资成本小于取得投资时应享有被投资单位可辨认净资产公允价值产生的收益</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atLeast"/>
        </w:trPr>
        <w:tc>
          <w:tcPr>
            <w:tcW w:w="2742" w:type="pct"/>
            <w:vAlign w:val="bottom"/>
          </w:tcPr>
          <w:p>
            <w:pPr>
              <w:rPr>
                <w:rFonts w:ascii="宋体" w:cs="宋体"/>
                <w:color w:val="auto"/>
                <w:sz w:val="18"/>
                <w:szCs w:val="18"/>
              </w:rPr>
            </w:pPr>
            <w:r>
              <w:rPr>
                <w:rFonts w:ascii="宋体" w:hAnsi="宋体"/>
                <w:color w:val="auto"/>
                <w:sz w:val="18"/>
                <w:szCs w:val="18"/>
              </w:rPr>
              <w:t>7</w:t>
            </w:r>
            <w:r>
              <w:rPr>
                <w:rFonts w:hint="eastAsia" w:ascii="宋体" w:hAnsi="宋体"/>
                <w:color w:val="auto"/>
                <w:sz w:val="18"/>
                <w:szCs w:val="18"/>
              </w:rPr>
              <w:t>、非货币资产交换损益</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atLeast"/>
        </w:trPr>
        <w:tc>
          <w:tcPr>
            <w:tcW w:w="2742" w:type="pct"/>
            <w:vAlign w:val="bottom"/>
          </w:tcPr>
          <w:p>
            <w:pPr>
              <w:rPr>
                <w:rFonts w:ascii="宋体" w:cs="宋体"/>
                <w:color w:val="auto"/>
                <w:sz w:val="18"/>
                <w:szCs w:val="18"/>
              </w:rPr>
            </w:pPr>
            <w:r>
              <w:rPr>
                <w:rFonts w:ascii="宋体" w:hAnsi="宋体"/>
                <w:color w:val="auto"/>
                <w:sz w:val="18"/>
                <w:szCs w:val="18"/>
              </w:rPr>
              <w:t>8</w:t>
            </w:r>
            <w:r>
              <w:rPr>
                <w:rFonts w:hint="eastAsia" w:ascii="宋体" w:hAnsi="宋体"/>
                <w:color w:val="auto"/>
                <w:sz w:val="18"/>
                <w:szCs w:val="18"/>
              </w:rPr>
              <w:t>、委托他人投资或管理资产的损益</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7,948,506.57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atLeast"/>
        </w:trPr>
        <w:tc>
          <w:tcPr>
            <w:tcW w:w="2742" w:type="pct"/>
            <w:vAlign w:val="bottom"/>
          </w:tcPr>
          <w:p>
            <w:pPr>
              <w:rPr>
                <w:rFonts w:ascii="宋体" w:cs="宋体"/>
                <w:color w:val="auto"/>
                <w:sz w:val="18"/>
                <w:szCs w:val="18"/>
              </w:rPr>
            </w:pPr>
            <w:r>
              <w:rPr>
                <w:rFonts w:ascii="宋体" w:hAnsi="宋体"/>
                <w:color w:val="auto"/>
                <w:sz w:val="18"/>
                <w:szCs w:val="18"/>
              </w:rPr>
              <w:t>9</w:t>
            </w:r>
            <w:r>
              <w:rPr>
                <w:rFonts w:hint="eastAsia" w:ascii="宋体" w:hAnsi="宋体"/>
                <w:color w:val="auto"/>
                <w:sz w:val="18"/>
                <w:szCs w:val="18"/>
              </w:rPr>
              <w:t>、因不可抗力因素，如遭受自然灾害而计提的各项资产减值准备</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trPr>
        <w:tc>
          <w:tcPr>
            <w:tcW w:w="2742" w:type="pct"/>
            <w:vAlign w:val="bottom"/>
          </w:tcPr>
          <w:p>
            <w:pPr>
              <w:rPr>
                <w:rFonts w:ascii="宋体" w:cs="宋体"/>
                <w:color w:val="auto"/>
                <w:sz w:val="18"/>
                <w:szCs w:val="18"/>
              </w:rPr>
            </w:pPr>
            <w:r>
              <w:rPr>
                <w:rFonts w:ascii="宋体" w:hAnsi="宋体"/>
                <w:color w:val="auto"/>
                <w:sz w:val="18"/>
                <w:szCs w:val="18"/>
              </w:rPr>
              <w:t>10</w:t>
            </w:r>
            <w:r>
              <w:rPr>
                <w:rFonts w:hint="eastAsia" w:ascii="宋体" w:hAnsi="宋体"/>
                <w:color w:val="auto"/>
                <w:sz w:val="18"/>
                <w:szCs w:val="18"/>
              </w:rPr>
              <w:t>、债务重组损益</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-263,993.81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trPr>
        <w:tc>
          <w:tcPr>
            <w:tcW w:w="2742" w:type="pct"/>
            <w:vAlign w:val="bottom"/>
          </w:tcPr>
          <w:p>
            <w:pPr>
              <w:rPr>
                <w:rFonts w:ascii="宋体" w:cs="宋体"/>
                <w:color w:val="auto"/>
                <w:sz w:val="18"/>
                <w:szCs w:val="18"/>
              </w:rPr>
            </w:pPr>
            <w:r>
              <w:rPr>
                <w:rFonts w:ascii="宋体" w:hAnsi="宋体"/>
                <w:color w:val="auto"/>
                <w:sz w:val="18"/>
                <w:szCs w:val="18"/>
              </w:rPr>
              <w:t>1</w:t>
            </w:r>
            <w:r>
              <w:rPr>
                <w:rFonts w:hint="eastAsia" w:ascii="宋体" w:hAnsi="宋体"/>
                <w:color w:val="auto"/>
                <w:sz w:val="18"/>
                <w:szCs w:val="18"/>
              </w:rPr>
              <w:t>1、企业重组费用，如安置职工的支出、整合费用等</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567" w:hRule="exact"/>
        </w:trPr>
        <w:tc>
          <w:tcPr>
            <w:tcW w:w="2742" w:type="pct"/>
            <w:vAlign w:val="bottom"/>
          </w:tcPr>
          <w:p>
            <w:pPr>
              <w:rPr>
                <w:rFonts w:ascii="宋体" w:cs="宋体"/>
                <w:color w:val="auto"/>
                <w:sz w:val="18"/>
                <w:szCs w:val="18"/>
              </w:rPr>
            </w:pPr>
            <w:r>
              <w:rPr>
                <w:rFonts w:ascii="宋体" w:hAnsi="宋体"/>
                <w:color w:val="auto"/>
                <w:sz w:val="18"/>
                <w:szCs w:val="18"/>
              </w:rPr>
              <w:t>1</w:t>
            </w:r>
            <w:r>
              <w:rPr>
                <w:rFonts w:hint="eastAsia" w:ascii="宋体" w:hAnsi="宋体"/>
                <w:color w:val="auto"/>
                <w:sz w:val="18"/>
                <w:szCs w:val="18"/>
              </w:rPr>
              <w:t>2、交易价格显失公允的交易产生的超过公允价值部分的损益</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trPr>
        <w:tc>
          <w:tcPr>
            <w:tcW w:w="2742" w:type="pct"/>
            <w:vAlign w:val="bottom"/>
          </w:tcPr>
          <w:p>
            <w:pPr>
              <w:rPr>
                <w:rFonts w:ascii="宋体" w:cs="宋体"/>
                <w:color w:val="auto"/>
                <w:sz w:val="18"/>
                <w:szCs w:val="18"/>
              </w:rPr>
            </w:pPr>
            <w:r>
              <w:rPr>
                <w:rFonts w:ascii="宋体" w:hAnsi="宋体"/>
                <w:color w:val="auto"/>
                <w:sz w:val="18"/>
                <w:szCs w:val="18"/>
              </w:rPr>
              <w:t>1</w:t>
            </w:r>
            <w:r>
              <w:rPr>
                <w:rFonts w:hint="eastAsia" w:ascii="宋体" w:hAnsi="宋体"/>
                <w:color w:val="auto"/>
                <w:sz w:val="18"/>
                <w:szCs w:val="18"/>
              </w:rPr>
              <w:t>3、同一控制下企业合并产生的子公司期初至合并日的当期净损益</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trPr>
        <w:tc>
          <w:tcPr>
            <w:tcW w:w="2742" w:type="pct"/>
            <w:vAlign w:val="bottom"/>
          </w:tcPr>
          <w:p>
            <w:pPr>
              <w:rPr>
                <w:rFonts w:ascii="宋体" w:cs="宋体"/>
                <w:color w:val="auto"/>
                <w:sz w:val="18"/>
                <w:szCs w:val="18"/>
              </w:rPr>
            </w:pPr>
            <w:r>
              <w:rPr>
                <w:rFonts w:ascii="宋体" w:hAnsi="宋体"/>
                <w:color w:val="auto"/>
                <w:sz w:val="18"/>
                <w:szCs w:val="18"/>
              </w:rPr>
              <w:t>1</w:t>
            </w:r>
            <w:r>
              <w:rPr>
                <w:rFonts w:hint="eastAsia" w:ascii="宋体" w:hAnsi="宋体"/>
                <w:color w:val="auto"/>
                <w:sz w:val="18"/>
                <w:szCs w:val="18"/>
              </w:rPr>
              <w:t>4、与公司正常经营业务无关的或有事项产生的损益</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257" w:hRule="exact"/>
        </w:trPr>
        <w:tc>
          <w:tcPr>
            <w:tcW w:w="2742" w:type="pct"/>
            <w:vAlign w:val="bottom"/>
          </w:tcPr>
          <w:p>
            <w:pPr>
              <w:rPr>
                <w:rFonts w:ascii="宋体" w:cs="宋体"/>
                <w:color w:val="auto"/>
                <w:sz w:val="18"/>
                <w:szCs w:val="18"/>
              </w:rPr>
            </w:pPr>
            <w:r>
              <w:rPr>
                <w:rFonts w:ascii="宋体" w:hAnsi="宋体"/>
                <w:color w:val="auto"/>
                <w:sz w:val="18"/>
                <w:szCs w:val="18"/>
              </w:rPr>
              <w:t>1</w:t>
            </w:r>
            <w:r>
              <w:rPr>
                <w:rFonts w:hint="eastAsia" w:ascii="宋体" w:hAnsi="宋体"/>
                <w:color w:val="auto"/>
                <w:sz w:val="18"/>
                <w:szCs w:val="18"/>
              </w:rPr>
              <w:t>5、除同公司正常经营业务相关的套期保值业务外，持有交易性金融资产、交易性金融负债产生的公允价值变动损益，以及处置交易性金融资产、交易性金融负债和可供出售金融资产取得的投资收益</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-8,382,050.30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trPr>
        <w:tc>
          <w:tcPr>
            <w:tcW w:w="2742" w:type="pct"/>
            <w:vAlign w:val="bottom"/>
          </w:tcPr>
          <w:p>
            <w:pPr>
              <w:rPr>
                <w:rFonts w:ascii="宋体" w:cs="宋体"/>
                <w:color w:val="auto"/>
                <w:sz w:val="18"/>
                <w:szCs w:val="18"/>
              </w:rPr>
            </w:pPr>
            <w:r>
              <w:rPr>
                <w:rFonts w:ascii="宋体" w:hAnsi="宋体"/>
                <w:color w:val="auto"/>
                <w:sz w:val="18"/>
                <w:szCs w:val="18"/>
              </w:rPr>
              <w:t>1</w:t>
            </w:r>
            <w:r>
              <w:rPr>
                <w:rFonts w:hint="eastAsia" w:ascii="宋体" w:hAnsi="宋体"/>
                <w:color w:val="auto"/>
                <w:sz w:val="18"/>
                <w:szCs w:val="18"/>
              </w:rPr>
              <w:t>6、单独进行减值测试的应收款项减值准备转回</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trPr>
        <w:tc>
          <w:tcPr>
            <w:tcW w:w="2742" w:type="pct"/>
            <w:vAlign w:val="bottom"/>
          </w:tcPr>
          <w:p>
            <w:pPr>
              <w:rPr>
                <w:rFonts w:ascii="宋体" w:cs="宋体"/>
                <w:color w:val="auto"/>
                <w:sz w:val="18"/>
                <w:szCs w:val="18"/>
              </w:rPr>
            </w:pPr>
            <w:r>
              <w:rPr>
                <w:rFonts w:ascii="宋体" w:hAnsi="宋体"/>
                <w:color w:val="auto"/>
                <w:sz w:val="18"/>
                <w:szCs w:val="18"/>
              </w:rPr>
              <w:t>1</w:t>
            </w:r>
            <w:r>
              <w:rPr>
                <w:rFonts w:hint="eastAsia" w:ascii="宋体" w:hAnsi="宋体"/>
                <w:color w:val="auto"/>
                <w:sz w:val="18"/>
                <w:szCs w:val="18"/>
              </w:rPr>
              <w:t>7、对外委托贷款取得的损益</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567" w:hRule="exact"/>
        </w:trPr>
        <w:tc>
          <w:tcPr>
            <w:tcW w:w="2742" w:type="pct"/>
            <w:vAlign w:val="bottom"/>
          </w:tcPr>
          <w:p>
            <w:pPr>
              <w:rPr>
                <w:rFonts w:ascii="宋体" w:cs="宋体"/>
                <w:color w:val="auto"/>
                <w:sz w:val="18"/>
                <w:szCs w:val="18"/>
              </w:rPr>
            </w:pPr>
            <w:r>
              <w:rPr>
                <w:rFonts w:ascii="宋体" w:hAnsi="宋体"/>
                <w:color w:val="auto"/>
                <w:sz w:val="18"/>
                <w:szCs w:val="18"/>
              </w:rPr>
              <w:t>1</w:t>
            </w:r>
            <w:r>
              <w:rPr>
                <w:rFonts w:hint="eastAsia" w:ascii="宋体" w:hAnsi="宋体"/>
                <w:color w:val="auto"/>
                <w:sz w:val="18"/>
                <w:szCs w:val="18"/>
              </w:rPr>
              <w:t>8、采用公允价值模式进行后续计量的投资性房地产公允价值变动产生的损益</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624" w:hRule="exact"/>
        </w:trPr>
        <w:tc>
          <w:tcPr>
            <w:tcW w:w="2742" w:type="pct"/>
            <w:vAlign w:val="bottom"/>
          </w:tcPr>
          <w:p>
            <w:pPr>
              <w:rPr>
                <w:rFonts w:ascii="宋体" w:cs="宋体"/>
                <w:color w:val="auto"/>
                <w:sz w:val="18"/>
                <w:szCs w:val="18"/>
              </w:rPr>
            </w:pPr>
            <w:r>
              <w:rPr>
                <w:rFonts w:ascii="宋体" w:hAnsi="宋体"/>
                <w:color w:val="auto"/>
                <w:sz w:val="18"/>
                <w:szCs w:val="18"/>
              </w:rPr>
              <w:t>1</w:t>
            </w:r>
            <w:r>
              <w:rPr>
                <w:rFonts w:hint="eastAsia" w:ascii="宋体" w:hAnsi="宋体"/>
                <w:color w:val="auto"/>
                <w:sz w:val="18"/>
                <w:szCs w:val="18"/>
              </w:rPr>
              <w:t>9、根据税收、会计等法律、法规的要求对当期损益进行一次性调整对当期损益的影响</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157,100.12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trPr>
        <w:tc>
          <w:tcPr>
            <w:tcW w:w="2742" w:type="pct"/>
            <w:vAlign w:val="bottom"/>
          </w:tcPr>
          <w:p>
            <w:pPr>
              <w:rPr>
                <w:rFonts w:ascii="宋体" w:cs="宋体"/>
                <w:color w:val="auto"/>
                <w:sz w:val="18"/>
                <w:szCs w:val="18"/>
              </w:rPr>
            </w:pPr>
            <w:r>
              <w:rPr>
                <w:rFonts w:hint="eastAsia" w:ascii="宋体" w:hAnsi="宋体"/>
                <w:color w:val="auto"/>
                <w:sz w:val="18"/>
                <w:szCs w:val="18"/>
              </w:rPr>
              <w:t>20、受托经营取得的托管费收入</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trPr>
        <w:tc>
          <w:tcPr>
            <w:tcW w:w="2742" w:type="pct"/>
            <w:vAlign w:val="bottom"/>
          </w:tcPr>
          <w:p>
            <w:pPr>
              <w:rPr>
                <w:rFonts w:ascii="宋体" w:cs="宋体"/>
                <w:color w:val="auto"/>
                <w:sz w:val="18"/>
                <w:szCs w:val="18"/>
              </w:rPr>
            </w:pPr>
            <w:r>
              <w:rPr>
                <w:rFonts w:ascii="宋体" w:hAnsi="宋体"/>
                <w:color w:val="auto"/>
                <w:sz w:val="18"/>
                <w:szCs w:val="18"/>
              </w:rPr>
              <w:t>2</w:t>
            </w:r>
            <w:r>
              <w:rPr>
                <w:rFonts w:hint="eastAsia" w:ascii="宋体" w:hAnsi="宋体"/>
                <w:color w:val="auto"/>
                <w:sz w:val="18"/>
                <w:szCs w:val="18"/>
              </w:rPr>
              <w:t>1、除上述各项之外的其他营业外收入和支出</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13,906.25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trPr>
        <w:tc>
          <w:tcPr>
            <w:tcW w:w="2742" w:type="pct"/>
            <w:vAlign w:val="bottom"/>
          </w:tcPr>
          <w:p>
            <w:pPr>
              <w:rPr>
                <w:rFonts w:ascii="宋体" w:cs="宋体"/>
                <w:color w:val="auto"/>
                <w:sz w:val="18"/>
                <w:szCs w:val="18"/>
              </w:rPr>
            </w:pPr>
            <w:r>
              <w:rPr>
                <w:rFonts w:ascii="宋体" w:hAnsi="宋体"/>
                <w:color w:val="auto"/>
                <w:sz w:val="18"/>
                <w:szCs w:val="18"/>
              </w:rPr>
              <w:t>2</w:t>
            </w:r>
            <w:r>
              <w:rPr>
                <w:rFonts w:hint="eastAsia" w:ascii="宋体" w:hAnsi="宋体"/>
                <w:color w:val="auto"/>
                <w:sz w:val="18"/>
                <w:szCs w:val="18"/>
              </w:rPr>
              <w:t>2、其他符合非经常性损益定义的损益项目</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trPr>
        <w:tc>
          <w:tcPr>
            <w:tcW w:w="2742" w:type="pct"/>
            <w:vAlign w:val="bottom"/>
          </w:tcPr>
          <w:p>
            <w:pPr>
              <w:rPr>
                <w:rFonts w:ascii="宋体" w:cs="宋体"/>
                <w:color w:val="auto"/>
                <w:sz w:val="18"/>
                <w:szCs w:val="18"/>
              </w:rPr>
            </w:pPr>
            <w:r>
              <w:rPr>
                <w:rFonts w:ascii="宋体" w:hAnsi="宋体"/>
                <w:color w:val="auto"/>
                <w:sz w:val="18"/>
                <w:szCs w:val="18"/>
              </w:rPr>
              <w:t>2</w:t>
            </w:r>
            <w:r>
              <w:rPr>
                <w:rFonts w:hint="eastAsia" w:ascii="宋体" w:hAnsi="宋体"/>
                <w:color w:val="auto"/>
                <w:sz w:val="18"/>
                <w:szCs w:val="18"/>
              </w:rPr>
              <w:t>3、少数股东权益影响额</w:t>
            </w:r>
          </w:p>
        </w:tc>
        <w:tc>
          <w:tcPr>
            <w:tcW w:w="1290" w:type="pct"/>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2,565,690.88 </w:t>
            </w:r>
          </w:p>
        </w:tc>
        <w:tc>
          <w:tcPr>
            <w:tcW w:w="968" w:type="pct"/>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trPr>
        <w:tc>
          <w:tcPr>
            <w:tcW w:w="2742" w:type="pct"/>
            <w:tcBorders>
              <w:bottom w:val="single" w:color="auto" w:sz="12" w:space="0"/>
            </w:tcBorders>
            <w:vAlign w:val="bottom"/>
          </w:tcPr>
          <w:p>
            <w:pPr>
              <w:rPr>
                <w:rFonts w:ascii="宋体" w:cs="宋体"/>
                <w:color w:val="auto"/>
                <w:sz w:val="18"/>
                <w:szCs w:val="18"/>
              </w:rPr>
            </w:pPr>
            <w:r>
              <w:rPr>
                <w:rFonts w:ascii="宋体" w:hAnsi="宋体"/>
                <w:color w:val="auto"/>
                <w:sz w:val="18"/>
                <w:szCs w:val="18"/>
              </w:rPr>
              <w:t>2</w:t>
            </w:r>
            <w:r>
              <w:rPr>
                <w:rFonts w:hint="eastAsia" w:ascii="宋体" w:hAnsi="宋体"/>
                <w:color w:val="auto"/>
                <w:sz w:val="18"/>
                <w:szCs w:val="18"/>
              </w:rPr>
              <w:t>4、所得税影响额</w:t>
            </w:r>
          </w:p>
        </w:tc>
        <w:tc>
          <w:tcPr>
            <w:tcW w:w="1290" w:type="pct"/>
            <w:tcBorders>
              <w:bottom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-7,442,761.72 </w:t>
            </w:r>
          </w:p>
        </w:tc>
        <w:tc>
          <w:tcPr>
            <w:tcW w:w="968" w:type="pct"/>
            <w:tcBorders>
              <w:bottom w:val="single" w:color="auto" w:sz="12" w:space="0"/>
            </w:tcBorders>
            <w:vAlign w:val="bottom"/>
          </w:tcPr>
          <w:p>
            <w:pPr>
              <w:jc w:val="right"/>
              <w:rPr>
                <w:rFonts w:cs="宋体" w:asciiTheme="minorEastAsia" w:hAnsiTheme="minorEastAsia" w:eastAsiaTheme="minor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exact"/>
        </w:trPr>
        <w:tc>
          <w:tcPr>
            <w:tcW w:w="2742" w:type="pct"/>
            <w:tcBorders>
              <w:top w:val="single" w:color="auto" w:sz="12" w:space="0"/>
              <w:bottom w:val="single" w:color="auto" w:sz="12" w:space="0"/>
            </w:tcBorders>
            <w:vAlign w:val="bottom"/>
          </w:tcPr>
          <w:p>
            <w:pPr>
              <w:jc w:val="center"/>
              <w:rPr>
                <w:rFonts w:ascii="宋体" w:cs="宋体"/>
                <w:b/>
                <w:color w:val="auto"/>
                <w:sz w:val="18"/>
                <w:szCs w:val="18"/>
              </w:rPr>
            </w:pPr>
            <w:r>
              <w:rPr>
                <w:rFonts w:hint="eastAsia" w:ascii="宋体" w:hAnsi="宋体"/>
                <w:b/>
                <w:color w:val="auto"/>
                <w:sz w:val="18"/>
                <w:szCs w:val="18"/>
              </w:rPr>
              <w:t>合计</w:t>
            </w:r>
          </w:p>
        </w:tc>
        <w:tc>
          <w:tcPr>
            <w:tcW w:w="1290" w:type="pct"/>
            <w:tcBorders>
              <w:top w:val="single" w:color="auto" w:sz="12" w:space="0"/>
              <w:bottom w:val="single" w:color="auto" w:sz="12" w:space="0"/>
            </w:tcBorders>
            <w:vAlign w:val="bottom"/>
          </w:tcPr>
          <w:p>
            <w:pPr>
              <w:jc w:val="right"/>
              <w:rPr>
                <w:rFonts w:cs="宋体" w:asciiTheme="minorEastAsia" w:hAnsiTheme="minorEastAsia" w:eastAsiaTheme="minorEastAsia"/>
                <w:b/>
                <w:bCs/>
                <w:color w:val="auto"/>
                <w:sz w:val="18"/>
                <w:szCs w:val="18"/>
              </w:rPr>
            </w:pPr>
            <w:r>
              <w:rPr>
                <w:rFonts w:hint="eastAsia" w:asciiTheme="minorEastAsia" w:hAnsiTheme="minorEastAsia" w:eastAsiaTheme="minorEastAsia"/>
                <w:b/>
                <w:bCs/>
                <w:color w:val="auto"/>
                <w:sz w:val="18"/>
                <w:szCs w:val="18"/>
              </w:rPr>
              <w:t xml:space="preserve">38,265,897.49 </w:t>
            </w:r>
          </w:p>
        </w:tc>
        <w:tc>
          <w:tcPr>
            <w:tcW w:w="968" w:type="pct"/>
            <w:tcBorders>
              <w:top w:val="single" w:color="auto" w:sz="12" w:space="0"/>
              <w:bottom w:val="single" w:color="auto" w:sz="12" w:space="0"/>
            </w:tcBorders>
            <w:vAlign w:val="bottom"/>
          </w:tcPr>
          <w:p>
            <w:pPr>
              <w:jc w:val="right"/>
              <w:rPr>
                <w:rFonts w:cs="宋体" w:asciiTheme="minorEastAsia" w:hAnsiTheme="minorEastAsia" w:eastAsiaTheme="minorEastAsia"/>
                <w:b/>
                <w:color w:val="auto"/>
                <w:sz w:val="18"/>
                <w:szCs w:val="18"/>
              </w:rPr>
            </w:pPr>
          </w:p>
        </w:tc>
      </w:tr>
    </w:tbl>
    <w:p>
      <w:pPr>
        <w:spacing w:before="150" w:beforeLines="50" w:after="150" w:afterLines="50" w:line="360" w:lineRule="auto"/>
        <w:ind w:firstLine="420" w:firstLineChars="200"/>
        <w:rPr>
          <w:rFonts w:ascii="宋体"/>
          <w:b/>
          <w:color w:val="auto"/>
          <w:szCs w:val="21"/>
        </w:rPr>
      </w:pPr>
      <w:r>
        <w:rPr>
          <w:rFonts w:ascii="宋体" w:hAnsi="宋体"/>
          <w:b/>
          <w:color w:val="auto"/>
          <w:szCs w:val="21"/>
        </w:rPr>
        <w:t>2</w:t>
      </w:r>
      <w:r>
        <w:rPr>
          <w:rFonts w:hint="eastAsia" w:ascii="宋体" w:hAnsi="宋体"/>
          <w:b/>
          <w:color w:val="auto"/>
          <w:szCs w:val="21"/>
        </w:rPr>
        <w:t>、净资产收益率及每股收益</w:t>
      </w:r>
    </w:p>
    <w:p>
      <w:pPr>
        <w:widowControl/>
        <w:spacing w:line="360" w:lineRule="auto"/>
        <w:ind w:firstLine="420" w:firstLineChars="200"/>
        <w:rPr>
          <w:rFonts w:ascii="宋体"/>
          <w:color w:val="auto"/>
          <w:szCs w:val="21"/>
        </w:rPr>
      </w:pPr>
      <w:r>
        <w:rPr>
          <w:rFonts w:hint="eastAsia" w:ascii="宋体" w:hAnsi="宋体"/>
          <w:color w:val="auto"/>
          <w:szCs w:val="21"/>
        </w:rPr>
        <w:t>根据中国证券监督管理委员会《公开发行证券公司信息披露编报规则第</w:t>
      </w:r>
      <w:r>
        <w:rPr>
          <w:rFonts w:ascii="宋体" w:hAnsi="宋体"/>
          <w:color w:val="auto"/>
          <w:szCs w:val="21"/>
        </w:rPr>
        <w:t>9</w:t>
      </w:r>
      <w:r>
        <w:rPr>
          <w:rFonts w:hint="eastAsia" w:ascii="宋体" w:hAnsi="宋体"/>
          <w:color w:val="auto"/>
          <w:szCs w:val="21"/>
        </w:rPr>
        <w:t>号</w:t>
      </w:r>
      <w:r>
        <w:rPr>
          <w:rFonts w:ascii="宋体" w:hAnsi="宋体"/>
          <w:color w:val="auto"/>
          <w:szCs w:val="21"/>
        </w:rPr>
        <w:t>—</w:t>
      </w:r>
      <w:r>
        <w:rPr>
          <w:rFonts w:hint="eastAsia" w:ascii="宋体" w:hAnsi="宋体"/>
          <w:color w:val="auto"/>
          <w:szCs w:val="21"/>
        </w:rPr>
        <w:t>净资产收益率和每股收益的计算及披露》（</w:t>
      </w:r>
      <w:r>
        <w:rPr>
          <w:rFonts w:ascii="宋体" w:hAnsi="宋体"/>
          <w:color w:val="auto"/>
          <w:szCs w:val="21"/>
        </w:rPr>
        <w:t>2010</w:t>
      </w:r>
      <w:r>
        <w:rPr>
          <w:rFonts w:hint="eastAsia" w:ascii="宋体" w:hAnsi="宋体"/>
          <w:color w:val="auto"/>
          <w:szCs w:val="21"/>
        </w:rPr>
        <w:t>年修订），公司按照加权平均法计算的净资产收益率及每股收益情况如下：</w:t>
      </w:r>
    </w:p>
    <w:p>
      <w:pPr>
        <w:widowControl/>
        <w:spacing w:before="150" w:beforeLines="50" w:after="150" w:afterLines="50" w:line="360" w:lineRule="auto"/>
        <w:ind w:firstLine="420" w:firstLineChars="200"/>
        <w:rPr>
          <w:rFonts w:asci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）本年度：</w:t>
      </w:r>
    </w:p>
    <w:tbl>
      <w:tblPr>
        <w:tblStyle w:val="9"/>
        <w:tblW w:w="8789" w:type="dxa"/>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057"/>
        <w:gridCol w:w="1957"/>
        <w:gridCol w:w="1887"/>
        <w:gridCol w:w="188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atLeast"/>
        </w:trPr>
        <w:tc>
          <w:tcPr>
            <w:tcW w:w="3057" w:type="dxa"/>
            <w:vMerge w:val="restart"/>
            <w:tcBorders>
              <w:top w:val="single" w:color="auto" w:sz="12" w:space="0"/>
            </w:tcBorders>
            <w:vAlign w:val="center"/>
          </w:tcPr>
          <w:p>
            <w:pPr>
              <w:adjustRightInd w:val="0"/>
              <w:spacing w:line="360" w:lineRule="auto"/>
              <w:jc w:val="center"/>
              <w:rPr>
                <w:rFonts w:ascii="宋体"/>
                <w:b/>
                <w:color w:val="auto"/>
                <w:sz w:val="18"/>
                <w:szCs w:val="18"/>
              </w:rPr>
            </w:pPr>
            <w:r>
              <w:rPr>
                <w:rFonts w:hint="eastAsia" w:ascii="宋体" w:hAnsi="宋体"/>
                <w:b/>
                <w:color w:val="auto"/>
                <w:sz w:val="18"/>
                <w:szCs w:val="18"/>
              </w:rPr>
              <w:t>报告期利润</w:t>
            </w:r>
          </w:p>
        </w:tc>
        <w:tc>
          <w:tcPr>
            <w:tcW w:w="1957" w:type="dxa"/>
            <w:vMerge w:val="restart"/>
            <w:tcBorders>
              <w:top w:val="single" w:color="auto" w:sz="12" w:space="0"/>
            </w:tcBorders>
            <w:vAlign w:val="center"/>
          </w:tcPr>
          <w:p>
            <w:pPr>
              <w:adjustRightInd w:val="0"/>
              <w:spacing w:line="360" w:lineRule="auto"/>
              <w:jc w:val="center"/>
              <w:rPr>
                <w:rFonts w:ascii="宋体"/>
                <w:b/>
                <w:color w:val="auto"/>
                <w:sz w:val="18"/>
                <w:szCs w:val="18"/>
              </w:rPr>
            </w:pPr>
            <w:r>
              <w:rPr>
                <w:rFonts w:hint="eastAsia" w:ascii="宋体" w:hAnsi="宋体"/>
                <w:b/>
                <w:color w:val="auto"/>
                <w:sz w:val="18"/>
                <w:szCs w:val="18"/>
              </w:rPr>
              <w:t>加权平均</w:t>
            </w:r>
          </w:p>
          <w:p>
            <w:pPr>
              <w:adjustRightInd w:val="0"/>
              <w:spacing w:line="360" w:lineRule="auto"/>
              <w:jc w:val="center"/>
              <w:rPr>
                <w:rFonts w:ascii="宋体"/>
                <w:b/>
                <w:color w:val="auto"/>
                <w:sz w:val="18"/>
                <w:szCs w:val="18"/>
              </w:rPr>
            </w:pPr>
            <w:r>
              <w:rPr>
                <w:rFonts w:hint="eastAsia" w:ascii="宋体" w:hAnsi="宋体"/>
                <w:b/>
                <w:color w:val="auto"/>
                <w:sz w:val="18"/>
                <w:szCs w:val="18"/>
              </w:rPr>
              <w:t>净资产收益率（</w:t>
            </w:r>
            <w:r>
              <w:rPr>
                <w:rFonts w:ascii="宋体" w:hAnsi="宋体"/>
                <w:b/>
                <w:color w:val="auto"/>
                <w:sz w:val="18"/>
                <w:szCs w:val="18"/>
              </w:rPr>
              <w:t>%</w:t>
            </w:r>
            <w:r>
              <w:rPr>
                <w:rFonts w:hint="eastAsia" w:ascii="宋体" w:hAnsi="宋体"/>
                <w:b/>
                <w:color w:val="auto"/>
                <w:sz w:val="18"/>
                <w:szCs w:val="18"/>
              </w:rPr>
              <w:t>）</w:t>
            </w:r>
          </w:p>
        </w:tc>
        <w:tc>
          <w:tcPr>
            <w:tcW w:w="3775" w:type="dxa"/>
            <w:gridSpan w:val="2"/>
            <w:tcBorders>
              <w:top w:val="single" w:color="auto" w:sz="12" w:space="0"/>
            </w:tcBorders>
            <w:vAlign w:val="center"/>
          </w:tcPr>
          <w:p>
            <w:pPr>
              <w:adjustRightInd w:val="0"/>
              <w:spacing w:line="360" w:lineRule="auto"/>
              <w:jc w:val="center"/>
              <w:rPr>
                <w:rFonts w:ascii="宋体"/>
                <w:b/>
                <w:color w:val="auto"/>
                <w:sz w:val="18"/>
                <w:szCs w:val="18"/>
              </w:rPr>
            </w:pPr>
            <w:r>
              <w:rPr>
                <w:rFonts w:hint="eastAsia" w:ascii="宋体" w:hAnsi="宋体"/>
                <w:b/>
                <w:color w:val="auto"/>
                <w:sz w:val="18"/>
                <w:szCs w:val="18"/>
              </w:rPr>
              <w:t>每股收益（元</w:t>
            </w:r>
            <w:r>
              <w:rPr>
                <w:rFonts w:ascii="宋体" w:hAnsi="宋体"/>
                <w:b/>
                <w:color w:val="auto"/>
                <w:sz w:val="18"/>
                <w:szCs w:val="18"/>
              </w:rPr>
              <w:t>/</w:t>
            </w:r>
            <w:r>
              <w:rPr>
                <w:rFonts w:hint="eastAsia" w:ascii="宋体" w:hAnsi="宋体"/>
                <w:b/>
                <w:color w:val="auto"/>
                <w:sz w:val="18"/>
                <w:szCs w:val="18"/>
              </w:rPr>
              <w:t>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57" w:type="dxa"/>
            <w:vMerge w:val="continue"/>
            <w:tcBorders>
              <w:bottom w:val="single" w:color="auto" w:sz="12" w:space="0"/>
            </w:tcBorders>
          </w:tcPr>
          <w:p>
            <w:pPr>
              <w:adjustRightInd w:val="0"/>
              <w:spacing w:line="360" w:lineRule="auto"/>
              <w:jc w:val="left"/>
              <w:rPr>
                <w:rFonts w:ascii="宋体"/>
                <w:color w:val="auto"/>
                <w:sz w:val="18"/>
                <w:szCs w:val="18"/>
              </w:rPr>
            </w:pPr>
          </w:p>
        </w:tc>
        <w:tc>
          <w:tcPr>
            <w:tcW w:w="1957" w:type="dxa"/>
            <w:vMerge w:val="continue"/>
            <w:tcBorders>
              <w:bottom w:val="single" w:color="auto" w:sz="12" w:space="0"/>
            </w:tcBorders>
            <w:vAlign w:val="center"/>
          </w:tcPr>
          <w:p>
            <w:pPr>
              <w:adjustRightInd w:val="0"/>
              <w:spacing w:line="360" w:lineRule="auto"/>
              <w:jc w:val="center"/>
              <w:rPr>
                <w:rFonts w:ascii="宋体"/>
                <w:b/>
                <w:color w:val="auto"/>
                <w:sz w:val="18"/>
                <w:szCs w:val="18"/>
              </w:rPr>
            </w:pPr>
          </w:p>
        </w:tc>
        <w:tc>
          <w:tcPr>
            <w:tcW w:w="1887" w:type="dxa"/>
            <w:tcBorders>
              <w:bottom w:val="single" w:color="auto" w:sz="12" w:space="0"/>
            </w:tcBorders>
            <w:vAlign w:val="center"/>
          </w:tcPr>
          <w:p>
            <w:pPr>
              <w:adjustRightInd w:val="0"/>
              <w:spacing w:line="360" w:lineRule="auto"/>
              <w:jc w:val="center"/>
              <w:rPr>
                <w:rFonts w:ascii="宋体"/>
                <w:b/>
                <w:color w:val="auto"/>
                <w:sz w:val="18"/>
                <w:szCs w:val="18"/>
              </w:rPr>
            </w:pPr>
            <w:r>
              <w:rPr>
                <w:rFonts w:hint="eastAsia" w:hAnsi="宋体"/>
                <w:b/>
                <w:color w:val="auto"/>
                <w:sz w:val="18"/>
                <w:szCs w:val="18"/>
              </w:rPr>
              <w:t>基本每股收益</w:t>
            </w:r>
          </w:p>
        </w:tc>
        <w:tc>
          <w:tcPr>
            <w:tcW w:w="1888" w:type="dxa"/>
            <w:tcBorders>
              <w:bottom w:val="single" w:color="auto" w:sz="12" w:space="0"/>
            </w:tcBorders>
            <w:vAlign w:val="center"/>
          </w:tcPr>
          <w:p>
            <w:pPr>
              <w:adjustRightInd w:val="0"/>
              <w:spacing w:line="360" w:lineRule="auto"/>
              <w:jc w:val="center"/>
              <w:rPr>
                <w:rFonts w:ascii="宋体"/>
                <w:b/>
                <w:color w:val="auto"/>
                <w:sz w:val="18"/>
                <w:szCs w:val="18"/>
              </w:rPr>
            </w:pPr>
            <w:r>
              <w:rPr>
                <w:rFonts w:hint="eastAsia" w:hAnsi="宋体"/>
                <w:b/>
                <w:color w:val="auto"/>
                <w:sz w:val="18"/>
                <w:szCs w:val="18"/>
              </w:rPr>
              <w:t>稀释每股收益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57" w:type="dxa"/>
            <w:tcBorders>
              <w:top w:val="single" w:color="auto" w:sz="12" w:space="0"/>
            </w:tcBorders>
            <w:vAlign w:val="bottom"/>
          </w:tcPr>
          <w:p>
            <w:pP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归属于普通股股东的净利润</w:t>
            </w:r>
          </w:p>
        </w:tc>
        <w:tc>
          <w:tcPr>
            <w:tcW w:w="1957" w:type="dxa"/>
            <w:tcBorders>
              <w:top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19.94 </w:t>
            </w:r>
          </w:p>
        </w:tc>
        <w:tc>
          <w:tcPr>
            <w:tcW w:w="1887" w:type="dxa"/>
            <w:tcBorders>
              <w:top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0.81 </w:t>
            </w:r>
          </w:p>
        </w:tc>
        <w:tc>
          <w:tcPr>
            <w:tcW w:w="1888" w:type="dxa"/>
            <w:tcBorders>
              <w:top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0.80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57" w:type="dxa"/>
            <w:tcBorders>
              <w:bottom w:val="single" w:color="auto" w:sz="12" w:space="0"/>
            </w:tcBorders>
            <w:vAlign w:val="bottom"/>
          </w:tcPr>
          <w:p>
            <w:pP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扣除非经常性损益后归属于普通股股东的净利润</w:t>
            </w:r>
          </w:p>
        </w:tc>
        <w:tc>
          <w:tcPr>
            <w:tcW w:w="1957" w:type="dxa"/>
            <w:tcBorders>
              <w:bottom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14.34 </w:t>
            </w:r>
          </w:p>
        </w:tc>
        <w:tc>
          <w:tcPr>
            <w:tcW w:w="1887" w:type="dxa"/>
            <w:tcBorders>
              <w:bottom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0.58 </w:t>
            </w:r>
          </w:p>
        </w:tc>
        <w:tc>
          <w:tcPr>
            <w:tcW w:w="1888" w:type="dxa"/>
            <w:tcBorders>
              <w:bottom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0.58 </w:t>
            </w:r>
          </w:p>
        </w:tc>
      </w:tr>
    </w:tbl>
    <w:p>
      <w:pPr>
        <w:widowControl/>
        <w:spacing w:before="150" w:beforeLines="50" w:after="150" w:afterLines="50" w:line="360" w:lineRule="auto"/>
        <w:ind w:firstLine="420" w:firstLineChars="200"/>
        <w:rPr>
          <w:rFonts w:ascii="宋体" w:hAnsi="宋体"/>
          <w:color w:val="auto"/>
          <w:szCs w:val="21"/>
        </w:rPr>
      </w:pPr>
      <w:r>
        <w:rPr>
          <w:rFonts w:hint="eastAsia" w:ascii="宋体" w:hAnsi="宋体"/>
          <w:color w:val="auto"/>
          <w:szCs w:val="21"/>
        </w:rPr>
        <w:t>（2）上年度：</w:t>
      </w:r>
    </w:p>
    <w:tbl>
      <w:tblPr>
        <w:tblStyle w:val="9"/>
        <w:tblW w:w="9047" w:type="dxa"/>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057"/>
        <w:gridCol w:w="1957"/>
        <w:gridCol w:w="2016"/>
        <w:gridCol w:w="20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57" w:type="dxa"/>
            <w:vMerge w:val="restart"/>
            <w:tcBorders>
              <w:top w:val="single" w:color="auto" w:sz="12" w:space="0"/>
            </w:tcBorders>
            <w:vAlign w:val="center"/>
          </w:tcPr>
          <w:p>
            <w:pPr>
              <w:adjustRightInd w:val="0"/>
              <w:spacing w:line="360" w:lineRule="auto"/>
              <w:jc w:val="center"/>
              <w:rPr>
                <w:rFonts w:ascii="宋体"/>
                <w:b/>
                <w:color w:val="auto"/>
                <w:sz w:val="18"/>
                <w:szCs w:val="18"/>
              </w:rPr>
            </w:pPr>
            <w:r>
              <w:rPr>
                <w:rFonts w:hint="eastAsia" w:ascii="宋体" w:hAnsi="宋体"/>
                <w:b/>
                <w:color w:val="auto"/>
                <w:sz w:val="18"/>
                <w:szCs w:val="18"/>
              </w:rPr>
              <w:t>报告期利润</w:t>
            </w:r>
          </w:p>
        </w:tc>
        <w:tc>
          <w:tcPr>
            <w:tcW w:w="1957" w:type="dxa"/>
            <w:vMerge w:val="restart"/>
            <w:tcBorders>
              <w:top w:val="single" w:color="auto" w:sz="12" w:space="0"/>
            </w:tcBorders>
            <w:vAlign w:val="center"/>
          </w:tcPr>
          <w:p>
            <w:pPr>
              <w:adjustRightInd w:val="0"/>
              <w:spacing w:line="360" w:lineRule="auto"/>
              <w:jc w:val="center"/>
              <w:rPr>
                <w:rFonts w:ascii="宋体"/>
                <w:b/>
                <w:color w:val="auto"/>
                <w:sz w:val="18"/>
                <w:szCs w:val="18"/>
              </w:rPr>
            </w:pPr>
            <w:r>
              <w:rPr>
                <w:rFonts w:hint="eastAsia" w:ascii="宋体" w:hAnsi="宋体"/>
                <w:b/>
                <w:color w:val="auto"/>
                <w:sz w:val="18"/>
                <w:szCs w:val="18"/>
              </w:rPr>
              <w:t>加权平均</w:t>
            </w:r>
          </w:p>
          <w:p>
            <w:pPr>
              <w:adjustRightInd w:val="0"/>
              <w:spacing w:line="360" w:lineRule="auto"/>
              <w:jc w:val="center"/>
              <w:rPr>
                <w:rFonts w:ascii="宋体"/>
                <w:b/>
                <w:color w:val="auto"/>
                <w:sz w:val="18"/>
                <w:szCs w:val="18"/>
              </w:rPr>
            </w:pPr>
            <w:r>
              <w:rPr>
                <w:rFonts w:hint="eastAsia" w:ascii="宋体" w:hAnsi="宋体"/>
                <w:b/>
                <w:color w:val="auto"/>
                <w:sz w:val="18"/>
                <w:szCs w:val="18"/>
              </w:rPr>
              <w:t>净资产收益率（</w:t>
            </w:r>
            <w:r>
              <w:rPr>
                <w:rFonts w:ascii="宋体" w:hAnsi="宋体"/>
                <w:b/>
                <w:color w:val="auto"/>
                <w:sz w:val="18"/>
                <w:szCs w:val="18"/>
              </w:rPr>
              <w:t>%</w:t>
            </w:r>
            <w:r>
              <w:rPr>
                <w:rFonts w:hint="eastAsia" w:ascii="宋体" w:hAnsi="宋体"/>
                <w:b/>
                <w:color w:val="auto"/>
                <w:sz w:val="18"/>
                <w:szCs w:val="18"/>
              </w:rPr>
              <w:t>）</w:t>
            </w:r>
          </w:p>
        </w:tc>
        <w:tc>
          <w:tcPr>
            <w:tcW w:w="4033" w:type="dxa"/>
            <w:gridSpan w:val="2"/>
            <w:tcBorders>
              <w:top w:val="single" w:color="auto" w:sz="12" w:space="0"/>
            </w:tcBorders>
            <w:vAlign w:val="center"/>
          </w:tcPr>
          <w:p>
            <w:pPr>
              <w:adjustRightInd w:val="0"/>
              <w:spacing w:line="360" w:lineRule="auto"/>
              <w:jc w:val="center"/>
              <w:rPr>
                <w:rFonts w:ascii="宋体"/>
                <w:b/>
                <w:color w:val="auto"/>
                <w:sz w:val="18"/>
                <w:szCs w:val="18"/>
              </w:rPr>
            </w:pPr>
            <w:r>
              <w:rPr>
                <w:rFonts w:hint="eastAsia" w:ascii="宋体" w:hAnsi="宋体"/>
                <w:b/>
                <w:color w:val="auto"/>
                <w:sz w:val="18"/>
                <w:szCs w:val="18"/>
              </w:rPr>
              <w:t>每股收益（元</w:t>
            </w:r>
            <w:r>
              <w:rPr>
                <w:rFonts w:ascii="宋体" w:hAnsi="宋体"/>
                <w:b/>
                <w:color w:val="auto"/>
                <w:sz w:val="18"/>
                <w:szCs w:val="18"/>
              </w:rPr>
              <w:t>/</w:t>
            </w:r>
            <w:r>
              <w:rPr>
                <w:rFonts w:hint="eastAsia" w:ascii="宋体" w:hAnsi="宋体"/>
                <w:b/>
                <w:color w:val="auto"/>
                <w:sz w:val="18"/>
                <w:szCs w:val="18"/>
              </w:rPr>
              <w:t>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57" w:type="dxa"/>
            <w:vMerge w:val="continue"/>
            <w:tcBorders>
              <w:bottom w:val="single" w:color="auto" w:sz="12" w:space="0"/>
            </w:tcBorders>
          </w:tcPr>
          <w:p>
            <w:pPr>
              <w:adjustRightInd w:val="0"/>
              <w:spacing w:line="360" w:lineRule="auto"/>
              <w:jc w:val="left"/>
              <w:rPr>
                <w:rFonts w:ascii="宋体"/>
                <w:color w:val="auto"/>
                <w:sz w:val="18"/>
                <w:szCs w:val="18"/>
              </w:rPr>
            </w:pPr>
          </w:p>
        </w:tc>
        <w:tc>
          <w:tcPr>
            <w:tcW w:w="1957" w:type="dxa"/>
            <w:vMerge w:val="continue"/>
            <w:tcBorders>
              <w:bottom w:val="single" w:color="auto" w:sz="12" w:space="0"/>
            </w:tcBorders>
            <w:vAlign w:val="center"/>
          </w:tcPr>
          <w:p>
            <w:pPr>
              <w:adjustRightInd w:val="0"/>
              <w:spacing w:line="360" w:lineRule="auto"/>
              <w:jc w:val="center"/>
              <w:rPr>
                <w:rFonts w:ascii="宋体"/>
                <w:b/>
                <w:color w:val="auto"/>
                <w:sz w:val="18"/>
                <w:szCs w:val="18"/>
              </w:rPr>
            </w:pPr>
          </w:p>
        </w:tc>
        <w:tc>
          <w:tcPr>
            <w:tcW w:w="2016" w:type="dxa"/>
            <w:tcBorders>
              <w:bottom w:val="single" w:color="auto" w:sz="12" w:space="0"/>
            </w:tcBorders>
            <w:vAlign w:val="center"/>
          </w:tcPr>
          <w:p>
            <w:pPr>
              <w:adjustRightInd w:val="0"/>
              <w:spacing w:line="360" w:lineRule="auto"/>
              <w:jc w:val="center"/>
              <w:rPr>
                <w:rFonts w:ascii="宋体"/>
                <w:b/>
                <w:color w:val="auto"/>
                <w:sz w:val="18"/>
                <w:szCs w:val="18"/>
              </w:rPr>
            </w:pPr>
            <w:r>
              <w:rPr>
                <w:rFonts w:hint="eastAsia" w:hAnsi="宋体"/>
                <w:b/>
                <w:color w:val="auto"/>
                <w:sz w:val="18"/>
                <w:szCs w:val="18"/>
              </w:rPr>
              <w:t>基本每股收益</w:t>
            </w:r>
          </w:p>
        </w:tc>
        <w:tc>
          <w:tcPr>
            <w:tcW w:w="2017" w:type="dxa"/>
            <w:tcBorders>
              <w:bottom w:val="single" w:color="auto" w:sz="12" w:space="0"/>
            </w:tcBorders>
            <w:vAlign w:val="center"/>
          </w:tcPr>
          <w:p>
            <w:pPr>
              <w:adjustRightInd w:val="0"/>
              <w:spacing w:line="360" w:lineRule="auto"/>
              <w:jc w:val="center"/>
              <w:rPr>
                <w:rFonts w:ascii="宋体"/>
                <w:b/>
                <w:color w:val="auto"/>
                <w:sz w:val="18"/>
                <w:szCs w:val="18"/>
              </w:rPr>
            </w:pPr>
            <w:r>
              <w:rPr>
                <w:rFonts w:hint="eastAsia" w:hAnsi="宋体"/>
                <w:b/>
                <w:color w:val="auto"/>
                <w:sz w:val="18"/>
                <w:szCs w:val="18"/>
              </w:rPr>
              <w:t>稀释每股收益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57" w:type="dxa"/>
            <w:tcBorders>
              <w:top w:val="single" w:color="auto" w:sz="12" w:space="0"/>
            </w:tcBorders>
            <w:vAlign w:val="bottom"/>
          </w:tcPr>
          <w:p>
            <w:pPr>
              <w:rPr>
                <w:rFonts w:ascii="宋体" w:hAnsi="宋体" w:cs="宋体"/>
                <w:color w:val="auto"/>
                <w:sz w:val="18"/>
                <w:szCs w:val="18"/>
              </w:rPr>
            </w:pPr>
            <w:r>
              <w:rPr>
                <w:rFonts w:hint="eastAsia"/>
                <w:color w:val="auto"/>
                <w:sz w:val="18"/>
                <w:szCs w:val="18"/>
              </w:rPr>
              <w:t>归属于普通股股东的净利润</w:t>
            </w:r>
          </w:p>
        </w:tc>
        <w:tc>
          <w:tcPr>
            <w:tcW w:w="1957" w:type="dxa"/>
            <w:tcBorders>
              <w:top w:val="single" w:color="auto" w:sz="12" w:space="0"/>
            </w:tcBorders>
            <w:vAlign w:val="bottom"/>
          </w:tcPr>
          <w:p>
            <w:pPr>
              <w:jc w:val="right"/>
              <w:rPr>
                <w:rFonts w:asciiTheme="minorEastAsia" w:hAnsiTheme="minorEastAsia" w:eastAsiaTheme="minorEastAsia"/>
                <w:color w:val="auto"/>
                <w:sz w:val="18"/>
              </w:rPr>
            </w:pPr>
            <w:r>
              <w:rPr>
                <w:rFonts w:hint="eastAsia" w:asciiTheme="minorEastAsia" w:hAnsiTheme="minorEastAsia" w:eastAsiaTheme="minorEastAsia"/>
                <w:color w:val="auto"/>
                <w:sz w:val="18"/>
                <w:szCs w:val="18"/>
              </w:rPr>
              <w:t xml:space="preserve">    9.36 </w:t>
            </w:r>
          </w:p>
        </w:tc>
        <w:tc>
          <w:tcPr>
            <w:tcW w:w="2016" w:type="dxa"/>
            <w:tcBorders>
              <w:top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0.36 </w:t>
            </w:r>
          </w:p>
        </w:tc>
        <w:tc>
          <w:tcPr>
            <w:tcW w:w="2017" w:type="dxa"/>
            <w:tcBorders>
              <w:top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0.36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57" w:type="dxa"/>
            <w:tcBorders>
              <w:bottom w:val="single" w:color="auto" w:sz="12" w:space="0"/>
            </w:tcBorders>
            <w:vAlign w:val="bottom"/>
          </w:tcPr>
          <w:p>
            <w:pPr>
              <w:rPr>
                <w:rFonts w:ascii="宋体" w:hAnsi="宋体" w:cs="宋体"/>
                <w:color w:val="auto"/>
                <w:sz w:val="18"/>
                <w:szCs w:val="18"/>
              </w:rPr>
            </w:pPr>
            <w:r>
              <w:rPr>
                <w:rFonts w:hint="eastAsia"/>
                <w:color w:val="auto"/>
                <w:sz w:val="18"/>
                <w:szCs w:val="18"/>
              </w:rPr>
              <w:t>扣除非经常性损益后归属于普通股股东的净利润</w:t>
            </w:r>
          </w:p>
        </w:tc>
        <w:tc>
          <w:tcPr>
            <w:tcW w:w="1957" w:type="dxa"/>
            <w:tcBorders>
              <w:bottom w:val="single" w:color="auto" w:sz="12" w:space="0"/>
            </w:tcBorders>
            <w:vAlign w:val="bottom"/>
          </w:tcPr>
          <w:p>
            <w:pPr>
              <w:jc w:val="right"/>
              <w:rPr>
                <w:rFonts w:asciiTheme="minorEastAsia" w:hAnsiTheme="minorEastAsia" w:eastAsiaTheme="minorEastAsia"/>
                <w:color w:val="auto"/>
                <w:sz w:val="18"/>
              </w:rPr>
            </w:pPr>
            <w:r>
              <w:rPr>
                <w:rFonts w:hint="eastAsia" w:asciiTheme="minorEastAsia" w:hAnsiTheme="minorEastAsia" w:eastAsiaTheme="minorEastAsia"/>
                <w:color w:val="auto"/>
                <w:sz w:val="18"/>
                <w:szCs w:val="18"/>
              </w:rPr>
              <w:t xml:space="preserve">    7.19 </w:t>
            </w:r>
          </w:p>
        </w:tc>
        <w:tc>
          <w:tcPr>
            <w:tcW w:w="2016" w:type="dxa"/>
            <w:tcBorders>
              <w:bottom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0.28 </w:t>
            </w:r>
          </w:p>
        </w:tc>
        <w:tc>
          <w:tcPr>
            <w:tcW w:w="2017" w:type="dxa"/>
            <w:tcBorders>
              <w:bottom w:val="single" w:color="auto" w:sz="12" w:space="0"/>
            </w:tcBorders>
            <w:vAlign w:val="bottom"/>
          </w:tcPr>
          <w:p>
            <w:pPr>
              <w:jc w:val="righ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0.28 </w:t>
            </w:r>
          </w:p>
        </w:tc>
      </w:tr>
    </w:tbl>
    <w:p>
      <w:pPr>
        <w:spacing w:line="360" w:lineRule="auto"/>
        <w:ind w:firstLine="420" w:firstLineChars="200"/>
        <w:rPr>
          <w:rFonts w:ascii="宋体" w:hAnsi="宋体"/>
          <w:bCs/>
          <w:color w:val="auto"/>
          <w:szCs w:val="21"/>
        </w:rPr>
      </w:pPr>
    </w:p>
    <w:p>
      <w:pPr>
        <w:spacing w:line="360" w:lineRule="auto"/>
        <w:ind w:firstLine="420" w:firstLineChars="200"/>
        <w:rPr>
          <w:rFonts w:ascii="宋体" w:hAnsi="宋体"/>
          <w:bCs/>
          <w:color w:val="auto"/>
          <w:szCs w:val="21"/>
        </w:rPr>
      </w:pPr>
    </w:p>
    <w:p>
      <w:pPr>
        <w:spacing w:line="360" w:lineRule="auto"/>
        <w:ind w:firstLine="420" w:firstLineChars="200"/>
        <w:rPr>
          <w:rFonts w:ascii="宋体" w:hAnsi="宋体"/>
          <w:bCs/>
          <w:color w:val="auto"/>
          <w:szCs w:val="21"/>
        </w:rPr>
      </w:pPr>
    </w:p>
    <w:p>
      <w:pPr>
        <w:spacing w:line="360" w:lineRule="auto"/>
        <w:ind w:firstLine="420" w:firstLineChars="200"/>
        <w:rPr>
          <w:rFonts w:ascii="宋体" w:hAnsi="宋体"/>
          <w:bCs/>
          <w:color w:val="auto"/>
          <w:szCs w:val="21"/>
        </w:rPr>
      </w:pPr>
    </w:p>
    <w:p>
      <w:pPr>
        <w:widowControl/>
        <w:spacing w:line="360" w:lineRule="auto"/>
        <w:ind w:left="5930" w:leftChars="2574" w:hanging="525" w:hangingChars="250"/>
        <w:jc w:val="left"/>
        <w:rPr>
          <w:rFonts w:ascii="宋体" w:hAnsi="宋体" w:cs="宋体"/>
          <w:snapToGrid w:val="0"/>
          <w:color w:val="auto"/>
          <w:kern w:val="0"/>
        </w:rPr>
      </w:pPr>
      <w:r>
        <w:rPr>
          <w:rFonts w:hint="eastAsia" w:ascii="宋体" w:hAnsi="宋体" w:cs="宋体"/>
          <w:snapToGrid w:val="0"/>
          <w:color w:val="auto"/>
          <w:kern w:val="0"/>
        </w:rPr>
        <w:t>青岛伟隆阀门股份有限公司</w:t>
      </w:r>
    </w:p>
    <w:p>
      <w:pPr>
        <w:widowControl/>
        <w:spacing w:line="360" w:lineRule="auto"/>
        <w:ind w:firstLine="5882" w:firstLineChars="2801"/>
        <w:jc w:val="left"/>
        <w:rPr>
          <w:rFonts w:ascii="宋体" w:hAnsi="宋体"/>
          <w:bCs/>
          <w:color w:val="auto"/>
          <w:szCs w:val="21"/>
        </w:rPr>
      </w:pPr>
      <w:r>
        <w:rPr>
          <w:rFonts w:hint="eastAsia" w:ascii="宋体" w:hAnsi="宋体" w:cs="宋体"/>
          <w:snapToGrid w:val="0"/>
          <w:color w:val="auto"/>
          <w:kern w:val="0"/>
        </w:rPr>
        <w:t>202</w:t>
      </w:r>
      <w:r>
        <w:rPr>
          <w:rFonts w:ascii="宋体" w:hAnsi="宋体" w:cs="宋体"/>
          <w:snapToGrid w:val="0"/>
          <w:color w:val="auto"/>
          <w:kern w:val="0"/>
        </w:rPr>
        <w:t>3</w:t>
      </w:r>
      <w:r>
        <w:rPr>
          <w:rFonts w:hint="eastAsia" w:ascii="宋体" w:hAnsi="宋体" w:cs="宋体"/>
          <w:snapToGrid w:val="0"/>
          <w:color w:val="auto"/>
          <w:kern w:val="0"/>
        </w:rPr>
        <w:t>年3月20日</w:t>
      </w:r>
    </w:p>
    <w:p>
      <w:pPr>
        <w:spacing w:before="100" w:after="100" w:line="0" w:lineRule="exact"/>
        <w:jc w:val="left"/>
        <w:rPr>
          <w:color w:val="auto"/>
        </w:rPr>
      </w:pPr>
    </w:p>
    <w:sectPr>
      <w:headerReference r:id="rId6" w:type="default"/>
      <w:footerReference r:id="rId7" w:type="default"/>
      <w:pgSz w:w="11905" w:h="16840"/>
      <w:pgMar w:top="1440" w:right="1134" w:bottom="1440" w:left="1134" w:header="850"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Segoe Print"/>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幼圆">
    <w:altName w:val="宋体"/>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2"/>
      </w:pBdr>
      <w:tabs>
        <w:tab w:val="clear" w:pos="8306"/>
      </w:tabs>
      <w:ind w:right="-2" w:firstLine="542" w:firstLineChars="300"/>
      <w:rPr>
        <w:rFonts w:ascii="幼圆" w:eastAsia="幼圆"/>
      </w:rPr>
    </w:pPr>
    <w:r>
      <w:rPr>
        <w:rFonts w:hint="eastAsia" w:ascii="楷体" w:hAnsi="楷体" w:eastAsia="楷体"/>
        <w:b/>
      </w:rPr>
      <w:drawing>
        <wp:anchor distT="0" distB="0" distL="114300" distR="114300" simplePos="0" relativeHeight="251659264" behindDoc="0" locked="0" layoutInCell="1" allowOverlap="0">
          <wp:simplePos x="0" y="0"/>
          <wp:positionH relativeFrom="margin">
            <wp:posOffset>-19685</wp:posOffset>
          </wp:positionH>
          <wp:positionV relativeFrom="margin">
            <wp:posOffset>8542655</wp:posOffset>
          </wp:positionV>
          <wp:extent cx="371475" cy="361950"/>
          <wp:effectExtent l="0" t="0" r="9525" b="0"/>
          <wp:wrapNone/>
          <wp:docPr id="2"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1"/>
                  <pic:cNvPicPr>
                    <a:picLocks noChangeAspect="1"/>
                  </pic:cNvPicPr>
                </pic:nvPicPr>
                <pic:blipFill>
                  <a:blip r:embed="rId1"/>
                  <a:stretch>
                    <a:fillRect/>
                  </a:stretch>
                </pic:blipFill>
                <pic:spPr>
                  <a:xfrm>
                    <a:off x="0" y="0"/>
                    <a:ext cx="371475" cy="361950"/>
                  </a:xfrm>
                  <a:prstGeom prst="rect">
                    <a:avLst/>
                  </a:prstGeom>
                  <a:noFill/>
                  <a:ln>
                    <a:noFill/>
                  </a:ln>
                </pic:spPr>
              </pic:pic>
            </a:graphicData>
          </a:graphic>
        </wp:anchor>
      </w:drawing>
    </w:r>
    <w:r>
      <w:rPr>
        <w:rFonts w:hint="eastAsia" w:ascii="楷体" w:hAnsi="楷体" w:eastAsia="楷体"/>
        <w:b/>
      </w:rPr>
      <w:t xml:space="preserve">和信会计师事务所（特殊普通合伙） </w:t>
    </w:r>
    <w:r>
      <w:rPr>
        <w:rFonts w:hint="eastAsia" w:ascii="幼圆" w:eastAsia="幼圆"/>
        <w:b/>
        <w:i/>
      </w:rPr>
      <w:t xml:space="preserve">                                                   </w:t>
    </w:r>
    <w:r>
      <w:rPr>
        <w:rFonts w:hint="eastAsia" w:ascii="宋体" w:hAnsi="宋体" w:eastAsia="幼圆"/>
        <w:b/>
        <w:i/>
      </w:rPr>
      <w:t xml:space="preserve"> </w:t>
    </w:r>
    <w:r>
      <w:rPr>
        <w:rFonts w:ascii="宋体" w:hAnsi="宋体" w:eastAsia="幼圆"/>
      </w:rPr>
      <w:fldChar w:fldCharType="begin"/>
    </w:r>
    <w:r>
      <w:rPr>
        <w:rFonts w:ascii="宋体" w:hAnsi="宋体" w:eastAsia="幼圆"/>
      </w:rPr>
      <w:instrText xml:space="preserve"> PAGE   \* MERGEFORMAT </w:instrText>
    </w:r>
    <w:r>
      <w:rPr>
        <w:rFonts w:ascii="宋体" w:hAnsi="宋体" w:eastAsia="幼圆"/>
      </w:rPr>
      <w:fldChar w:fldCharType="separate"/>
    </w:r>
    <w:r>
      <w:rPr>
        <w:rFonts w:ascii="宋体" w:hAnsi="宋体" w:eastAsia="幼圆"/>
        <w:lang w:val="zh-CN"/>
      </w:rPr>
      <w:t>1</w:t>
    </w:r>
    <w:r>
      <w:rPr>
        <w:rFonts w:ascii="宋体" w:hAnsi="宋体" w:eastAsia="幼圆"/>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宋体" w:eastAsia="宋体"/>
        <w:sz w:val="18"/>
        <w:szCs w:val="18"/>
      </w:rPr>
      <w:fldChar w:fldCharType="begin"/>
    </w:r>
    <w:r>
      <w:rPr>
        <w:rFonts w:ascii="宋体" w:eastAsia="宋体"/>
        <w:sz w:val="18"/>
        <w:szCs w:val="18"/>
      </w:rPr>
      <w:instrText xml:space="preserve">PAGE   \* MERGEFORMAT</w:instrText>
    </w:r>
    <w:r>
      <w:rPr>
        <w:rFonts w:ascii="宋体" w:eastAsia="宋体"/>
        <w:sz w:val="18"/>
        <w:szCs w:val="18"/>
      </w:rPr>
      <w:fldChar w:fldCharType="separate"/>
    </w:r>
    <w:r>
      <w:rPr>
        <w:rFonts w:ascii="宋体" w:eastAsia="宋体"/>
        <w:sz w:val="18"/>
        <w:szCs w:val="18"/>
      </w:rPr>
      <w:t>1</w:t>
    </w:r>
    <w:r>
      <w:rPr>
        <w:rFonts w:ascii="宋体" w:eastAsia="宋体"/>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right"/>
    </w:pPr>
    <w:r>
      <w:rPr>
        <w:rFonts w:ascii="宋体" w:eastAsia="宋体"/>
        <w:sz w:val="18"/>
        <w:szCs w:val="18"/>
      </w:rPr>
      <w:t>青岛伟隆阀门股份有限公司2022年年度报告全文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pStyle w:val="2"/>
      <w:lvlText w:val="第%1章"/>
      <w:legacy w:legacy="1" w:legacySpace="0" w:legacyIndent="0"/>
      <w:lvlJc w:val="left"/>
      <w:rPr>
        <w:rFonts w:cs="Times New Roman"/>
      </w:rPr>
    </w:lvl>
    <w:lvl w:ilvl="1" w:tentative="0">
      <w:start w:val="1"/>
      <w:numFmt w:val="none"/>
      <w:suff w:val="nothing"/>
      <w:lvlText w:val=""/>
      <w:lvlJc w:val="left"/>
      <w:rPr>
        <w:rFonts w:cs="Times New Roman"/>
      </w:rPr>
    </w:lvl>
    <w:lvl w:ilvl="2" w:tentative="0">
      <w:start w:val="1"/>
      <w:numFmt w:val="none"/>
      <w:lvlText w:val=""/>
      <w:legacy w:legacy="1" w:legacySpace="0" w:legacyIndent="0"/>
      <w:lvlJc w:val="center"/>
      <w:rPr>
        <w:rFonts w:cs="Times New Roman"/>
      </w:rPr>
    </w:lvl>
    <w:lvl w:ilvl="3" w:tentative="0">
      <w:start w:val="1"/>
      <w:numFmt w:val="none"/>
      <w:suff w:val="nothing"/>
      <w:lvlText w:val=""/>
      <w:lvlJc w:val="left"/>
      <w:rPr>
        <w:rFonts w:cs="Times New Roman"/>
      </w:rPr>
    </w:lvl>
    <w:lvl w:ilvl="4" w:tentative="0">
      <w:start w:val="1"/>
      <w:numFmt w:val="none"/>
      <w:suff w:val="nothing"/>
      <w:lvlText w:val=""/>
      <w:lvlJc w:val="left"/>
      <w:rPr>
        <w:rFonts w:cs="Times New Roman"/>
      </w:rPr>
    </w:lvl>
    <w:lvl w:ilvl="5" w:tentative="0">
      <w:start w:val="1"/>
      <w:numFmt w:val="none"/>
      <w:suff w:val="nothing"/>
      <w:lvlText w:val=""/>
      <w:lvlJc w:val="left"/>
      <w:rPr>
        <w:rFonts w:cs="Times New Roman"/>
      </w:rPr>
    </w:lvl>
    <w:lvl w:ilvl="6" w:tentative="0">
      <w:start w:val="1"/>
      <w:numFmt w:val="none"/>
      <w:suff w:val="nothing"/>
      <w:lvlText w:val=""/>
      <w:lvlJc w:val="left"/>
      <w:rPr>
        <w:rFonts w:cs="Times New Roman"/>
      </w:rPr>
    </w:lvl>
    <w:lvl w:ilvl="7" w:tentative="0">
      <w:start w:val="1"/>
      <w:numFmt w:val="none"/>
      <w:suff w:val="nothing"/>
      <w:lvlText w:val=""/>
      <w:lvlJc w:val="left"/>
      <w:rPr>
        <w:rFonts w:cs="Times New Roman"/>
      </w:rPr>
    </w:lvl>
    <w:lvl w:ilvl="8" w:tentative="0">
      <w:start w:val="1"/>
      <w:numFmt w:val="none"/>
      <w:suff w:val="nothing"/>
      <w:lvlText w:val=""/>
      <w:lvlJc w:val="left"/>
      <w:rPr>
        <w:rFonts w:cs="Times New Roman"/>
      </w:rPr>
    </w:lvl>
  </w:abstractNum>
  <w:abstractNum w:abstractNumId="1">
    <w:nsid w:val="719C2B43"/>
    <w:multiLevelType w:val="multilevel"/>
    <w:tmpl w:val="719C2B43"/>
    <w:lvl w:ilvl="0" w:tentative="0">
      <w:start w:val="4"/>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2">
    <w:nsid w:val="7F7E6B58"/>
    <w:multiLevelType w:val="multilevel"/>
    <w:tmpl w:val="7F7E6B58"/>
    <w:lvl w:ilvl="0" w:tentative="0">
      <w:start w:val="1"/>
      <w:numFmt w:val="decimal"/>
      <w:lvlText w:val="%1、"/>
      <w:lvlJc w:val="left"/>
      <w:pPr>
        <w:ind w:left="798" w:hanging="360"/>
      </w:pPr>
      <w:rPr>
        <w:rFonts w:hint="default"/>
      </w:rPr>
    </w:lvl>
    <w:lvl w:ilvl="1" w:tentative="0">
      <w:start w:val="1"/>
      <w:numFmt w:val="lowerLetter"/>
      <w:lvlText w:val="%2)"/>
      <w:lvlJc w:val="left"/>
      <w:pPr>
        <w:ind w:left="1278" w:hanging="420"/>
      </w:pPr>
    </w:lvl>
    <w:lvl w:ilvl="2" w:tentative="0">
      <w:start w:val="1"/>
      <w:numFmt w:val="lowerRoman"/>
      <w:lvlText w:val="%3."/>
      <w:lvlJc w:val="right"/>
      <w:pPr>
        <w:ind w:left="1698" w:hanging="420"/>
      </w:pPr>
    </w:lvl>
    <w:lvl w:ilvl="3" w:tentative="0">
      <w:start w:val="1"/>
      <w:numFmt w:val="decimal"/>
      <w:lvlText w:val="%4."/>
      <w:lvlJc w:val="left"/>
      <w:pPr>
        <w:ind w:left="2118" w:hanging="420"/>
      </w:pPr>
    </w:lvl>
    <w:lvl w:ilvl="4" w:tentative="0">
      <w:start w:val="1"/>
      <w:numFmt w:val="lowerLetter"/>
      <w:lvlText w:val="%5)"/>
      <w:lvlJc w:val="left"/>
      <w:pPr>
        <w:ind w:left="2538" w:hanging="420"/>
      </w:pPr>
    </w:lvl>
    <w:lvl w:ilvl="5" w:tentative="0">
      <w:start w:val="1"/>
      <w:numFmt w:val="lowerRoman"/>
      <w:lvlText w:val="%6."/>
      <w:lvlJc w:val="right"/>
      <w:pPr>
        <w:ind w:left="2958" w:hanging="420"/>
      </w:pPr>
    </w:lvl>
    <w:lvl w:ilvl="6" w:tentative="0">
      <w:start w:val="1"/>
      <w:numFmt w:val="decimal"/>
      <w:lvlText w:val="%7."/>
      <w:lvlJc w:val="left"/>
      <w:pPr>
        <w:ind w:left="3378" w:hanging="420"/>
      </w:pPr>
    </w:lvl>
    <w:lvl w:ilvl="7" w:tentative="0">
      <w:start w:val="1"/>
      <w:numFmt w:val="lowerLetter"/>
      <w:lvlText w:val="%8)"/>
      <w:lvlJc w:val="left"/>
      <w:pPr>
        <w:ind w:left="3798" w:hanging="420"/>
      </w:pPr>
    </w:lvl>
    <w:lvl w:ilvl="8" w:tentative="0">
      <w:start w:val="1"/>
      <w:numFmt w:val="lowerRoman"/>
      <w:lvlText w:val="%9."/>
      <w:lvlJc w:val="right"/>
      <w:pPr>
        <w:ind w:left="421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hdrShapeDefaults>
    <o:shapelayout v:ext="edit">
      <o:idmap v:ext="edit" data="2"/>
    </o:shapelayout>
  </w:hdrShapeDefaults>
  <w:compat>
    <w:doNotExpandShiftReturn/>
    <w:useFELayout/>
    <w:compatSetting w:name="compatibilityMode" w:uri="http://schemas.microsoft.com/office/word" w:val="14"/>
  </w:compat>
  <w:docVars>
    <w:docVar w:name="commondata" w:val="eyJoZGlkIjoiOTRiYWIwNzkzYTg0MzhhYmIxYTgwNmNhNDYxODQzNjMifQ=="/>
  </w:docVars>
  <w:rsids>
    <w:rsidRoot w:val="00000000"/>
    <w:rsid w:val="02A76009"/>
    <w:rsid w:val="0B0F2049"/>
    <w:rsid w:val="2810627B"/>
    <w:rsid w:val="472F5924"/>
    <w:rsid w:val="4E6B1551"/>
    <w:rsid w:val="669A33B4"/>
    <w:rsid w:val="74143DE2"/>
    <w:rsid w:val="743954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paragraph" w:styleId="2">
    <w:name w:val="heading 1"/>
    <w:basedOn w:val="1"/>
    <w:next w:val="3"/>
    <w:qFormat/>
    <w:uiPriority w:val="99"/>
    <w:pPr>
      <w:keepNext/>
      <w:widowControl/>
      <w:numPr>
        <w:ilvl w:val="0"/>
        <w:numId w:val="1"/>
      </w:numPr>
      <w:overflowPunct w:val="0"/>
      <w:autoSpaceDE w:val="0"/>
      <w:autoSpaceDN w:val="0"/>
      <w:adjustRightInd w:val="0"/>
      <w:spacing w:before="640" w:after="120"/>
      <w:jc w:val="left"/>
      <w:textAlignment w:val="baseline"/>
      <w:outlineLvl w:val="0"/>
    </w:pPr>
    <w:rPr>
      <w:rFonts w:ascii="Courier New" w:hAnsi="Courier New"/>
      <w:b/>
      <w:caps/>
      <w:kern w:val="0"/>
      <w:sz w:val="2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99"/>
    <w:pPr>
      <w:spacing w:before="120"/>
      <w:ind w:right="-329"/>
    </w:pPr>
    <w:rPr>
      <w:rFonts w:ascii="宋体" w:hAnsi="Arial"/>
    </w:rPr>
  </w:style>
  <w:style w:type="paragraph" w:styleId="4">
    <w:name w:val="Plain Text"/>
    <w:basedOn w:val="1"/>
    <w:qFormat/>
    <w:uiPriority w:val="0"/>
    <w:rPr>
      <w:rFonts w:ascii="宋体" w:hAnsi="Courier New" w:cs="Courier New"/>
      <w:szCs w:val="21"/>
    </w:rPr>
  </w:style>
  <w:style w:type="paragraph" w:styleId="5">
    <w:name w:val="Date"/>
    <w:basedOn w:val="1"/>
    <w:next w:val="1"/>
    <w:qFormat/>
    <w:uiPriority w:val="99"/>
    <w:rPr>
      <w:rFonts w:ascii="幼圆" w:eastAsia="幼圆"/>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style>
  <w:style w:type="paragraph" w:customStyle="1" w:styleId="14">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customStyle="1" w:styleId="15">
    <w:name w:val="附注二级正文"/>
    <w:basedOn w:val="1"/>
    <w:qFormat/>
    <w:uiPriority w:val="0"/>
    <w:pPr>
      <w:adjustRightInd w:val="0"/>
      <w:snapToGrid w:val="0"/>
      <w:spacing w:line="400" w:lineRule="atLeast"/>
      <w:ind w:left="718" w:leftChars="342" w:firstLine="200" w:firstLineChars="200"/>
    </w:pPr>
    <w:rPr>
      <w:rFonts w:ascii="宋体" w:hAnsi="宋体"/>
      <w:szCs w:val="21"/>
    </w:rPr>
  </w:style>
  <w:style w:type="paragraph" w:styleId="16">
    <w:name w:val="List Paragraph"/>
    <w:basedOn w:val="1"/>
    <w:qFormat/>
    <w:uiPriority w:val="34"/>
    <w:pPr>
      <w:ind w:left="720"/>
      <w:contextualSpacing/>
    </w:pPr>
    <w:rPr>
      <w:szCs w:val="24"/>
    </w:rPr>
  </w:style>
  <w:style w:type="paragraph" w:customStyle="1" w:styleId="17">
    <w:name w:val="Style1"/>
    <w:basedOn w:val="2"/>
    <w:qFormat/>
    <w:uiPriority w:val="0"/>
    <w:pPr>
      <w:numPr>
        <w:numId w:val="0"/>
      </w:numPr>
      <w:overflowPunct/>
      <w:autoSpaceDE/>
      <w:autoSpaceDN/>
      <w:adjustRightInd/>
      <w:spacing w:before="240" w:after="60"/>
      <w:textAlignment w:val="auto"/>
    </w:pPr>
    <w:rPr>
      <w:rFonts w:ascii="Times New Roman" w:hAnsi="Times New Roman" w:cs="Arial"/>
      <w:b w:val="0"/>
      <w:bCs/>
      <w:caps w:val="0"/>
      <w:kern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Office_11.1.0.13020_F1E327BC-269C-435d-A152-05C5408002CA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2023-03-18T02:41:00Z</dcterms:created>
  <dc:creator>Administrator.WINMICR-GFJCHI7</dc:creator>
  <cp:lastModifiedBy>Mr.翔</cp:lastModifiedBy>
  <dcterms:modified xsi:type="dcterms:W3CDTF">2023-03-20T02:11:10Z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029303122752452A8CCA8F1907EAE619</vt:lpwstr>
  </property>
</Properties>
</file>